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ebp" ContentType="image/webp"/>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C0DF7" w14:textId="77777777" w:rsidR="00E22223" w:rsidRDefault="00000000">
      <w:pPr>
        <w:jc w:val="right"/>
        <w:rPr>
          <w:rFonts w:ascii="华文行楷" w:eastAsia="华文行楷"/>
          <w:bCs/>
          <w:color w:val="000000"/>
          <w:sz w:val="84"/>
          <w:szCs w:val="84"/>
        </w:rPr>
      </w:pPr>
      <w:r>
        <w:rPr>
          <w:noProof/>
        </w:rPr>
        <w:drawing>
          <wp:inline distT="0" distB="0" distL="0" distR="0" wp14:anchorId="28887AE3" wp14:editId="16DF19C1">
            <wp:extent cx="1089025" cy="10890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089025" cy="1089025"/>
                    </a:xfrm>
                    <a:prstGeom prst="rect">
                      <a:avLst/>
                    </a:prstGeom>
                    <a:noFill/>
                    <a:ln>
                      <a:noFill/>
                    </a:ln>
                  </pic:spPr>
                </pic:pic>
              </a:graphicData>
            </a:graphic>
          </wp:inline>
        </w:drawing>
      </w:r>
      <w:r>
        <w:rPr>
          <w:noProof/>
        </w:rPr>
        <w:drawing>
          <wp:inline distT="0" distB="0" distL="0" distR="0" wp14:anchorId="07EBB8F0" wp14:editId="79228F06">
            <wp:extent cx="4124960" cy="1089025"/>
            <wp:effectExtent l="0" t="0" r="889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124960" cy="1089025"/>
                    </a:xfrm>
                    <a:prstGeom prst="rect">
                      <a:avLst/>
                    </a:prstGeom>
                    <a:noFill/>
                    <a:ln>
                      <a:noFill/>
                    </a:ln>
                  </pic:spPr>
                </pic:pic>
              </a:graphicData>
            </a:graphic>
          </wp:inline>
        </w:drawing>
      </w:r>
    </w:p>
    <w:p w14:paraId="3B7088A2" w14:textId="77777777" w:rsidR="00E22223" w:rsidRDefault="00000000">
      <w:pPr>
        <w:spacing w:beforeLines="50" w:before="156" w:line="800" w:lineRule="exact"/>
        <w:jc w:val="center"/>
        <w:rPr>
          <w:rFonts w:ascii="宋体" w:hAnsi="宋体"/>
          <w:b/>
          <w:bCs/>
          <w:color w:val="000000"/>
          <w:sz w:val="52"/>
          <w:szCs w:val="52"/>
        </w:rPr>
      </w:pPr>
      <w:r>
        <w:rPr>
          <w:rFonts w:ascii="宋体" w:hAnsi="宋体" w:hint="eastAsia"/>
          <w:b/>
          <w:bCs/>
          <w:color w:val="000000"/>
          <w:sz w:val="52"/>
          <w:szCs w:val="52"/>
        </w:rPr>
        <w:t>国家级大学生创新创业训练计划</w:t>
      </w:r>
    </w:p>
    <w:p w14:paraId="673688C3" w14:textId="77777777" w:rsidR="00E22223" w:rsidRDefault="00000000">
      <w:pPr>
        <w:spacing w:beforeLines="50" w:before="156" w:line="800" w:lineRule="exact"/>
        <w:jc w:val="center"/>
        <w:rPr>
          <w:rFonts w:ascii="宋体" w:hAnsi="宋体"/>
          <w:b/>
          <w:bCs/>
          <w:color w:val="000000"/>
          <w:sz w:val="52"/>
          <w:szCs w:val="52"/>
        </w:rPr>
      </w:pPr>
      <w:r>
        <w:rPr>
          <w:rFonts w:ascii="宋体" w:hAnsi="宋体" w:hint="eastAsia"/>
          <w:b/>
          <w:bCs/>
          <w:color w:val="000000"/>
          <w:sz w:val="52"/>
          <w:szCs w:val="52"/>
        </w:rPr>
        <w:t>创业类项目申报书</w:t>
      </w:r>
    </w:p>
    <w:p w14:paraId="32299FD8" w14:textId="77777777" w:rsidR="00E22223" w:rsidRDefault="00E22223">
      <w:pPr>
        <w:ind w:left="210" w:firstLineChars="82" w:firstLine="172"/>
        <w:rPr>
          <w:rFonts w:ascii="黑体" w:eastAsia="黑体" w:hAnsi="宋体"/>
          <w:color w:val="000000" w:themeColor="text1"/>
        </w:rPr>
      </w:pPr>
    </w:p>
    <w:p w14:paraId="01E5F6BE" w14:textId="77777777" w:rsidR="00E22223" w:rsidRDefault="00000000">
      <w:pPr>
        <w:ind w:leftChars="300" w:left="2236" w:hangingChars="500" w:hanging="1606"/>
        <w:rPr>
          <w:rFonts w:ascii="仿宋_GB2312" w:eastAsia="仿宋_GB2312" w:hAnsi="宋体"/>
          <w:b/>
          <w:bCs/>
          <w:color w:val="000000" w:themeColor="text1"/>
          <w:sz w:val="32"/>
          <w:u w:val="single"/>
        </w:rPr>
      </w:pPr>
      <w:r>
        <w:rPr>
          <w:rFonts w:ascii="仿宋_GB2312" w:eastAsia="仿宋_GB2312" w:hAnsi="宋体" w:hint="eastAsia"/>
          <w:b/>
          <w:bCs/>
          <w:color w:val="000000" w:themeColor="text1"/>
          <w:sz w:val="32"/>
        </w:rPr>
        <w:t>项目名称：</w:t>
      </w:r>
      <w:r>
        <w:rPr>
          <w:rFonts w:ascii="仿宋_GB2312" w:eastAsia="仿宋_GB2312" w:hAnsi="宋体" w:hint="eastAsia"/>
          <w:b/>
          <w:bCs/>
          <w:color w:val="000000" w:themeColor="text1"/>
          <w:sz w:val="32"/>
          <w:u w:val="single"/>
        </w:rPr>
        <w:t xml:space="preserve"> 融合</w:t>
      </w:r>
      <w:r>
        <w:rPr>
          <w:rFonts w:ascii="仿宋_GB2312" w:eastAsia="仿宋_GB2312" w:hAnsi="宋体"/>
          <w:b/>
          <w:bCs/>
          <w:color w:val="000000" w:themeColor="text1"/>
          <w:sz w:val="32"/>
          <w:u w:val="single"/>
        </w:rPr>
        <w:t>BERT</w:t>
      </w:r>
      <w:r>
        <w:rPr>
          <w:rFonts w:ascii="仿宋_GB2312" w:eastAsia="仿宋_GB2312" w:hAnsi="宋体" w:hint="eastAsia"/>
          <w:b/>
          <w:bCs/>
          <w:color w:val="000000" w:themeColor="text1"/>
          <w:sz w:val="32"/>
          <w:u w:val="single"/>
        </w:rPr>
        <w:t xml:space="preserve">表示学习的抗新冠病毒药物预筛 选技术          </w:t>
      </w:r>
      <w:r>
        <w:rPr>
          <w:rFonts w:ascii="仿宋_GB2312" w:eastAsia="仿宋_GB2312" w:hAnsi="宋体"/>
          <w:b/>
          <w:bCs/>
          <w:color w:val="000000" w:themeColor="text1"/>
          <w:sz w:val="32"/>
          <w:u w:val="single"/>
        </w:rPr>
        <w:t xml:space="preserve">  </w:t>
      </w:r>
      <w:r>
        <w:rPr>
          <w:rFonts w:ascii="仿宋_GB2312" w:eastAsia="仿宋_GB2312" w:hAnsi="宋体" w:hint="eastAsia"/>
          <w:b/>
          <w:bCs/>
          <w:color w:val="000000" w:themeColor="text1"/>
          <w:sz w:val="32"/>
          <w:u w:val="single"/>
        </w:rPr>
        <w:t xml:space="preserve">  </w:t>
      </w:r>
    </w:p>
    <w:p w14:paraId="6E377F42" w14:textId="6612B331" w:rsidR="00E22223" w:rsidRDefault="00000000">
      <w:pPr>
        <w:ind w:firstLineChars="200" w:firstLine="643"/>
        <w:rPr>
          <w:rFonts w:ascii="仿宋_GB2312" w:eastAsia="仿宋_GB2312" w:hAnsi="宋体"/>
          <w:b/>
          <w:bCs/>
          <w:color w:val="000000" w:themeColor="text1"/>
          <w:sz w:val="28"/>
          <w:u w:val="single"/>
        </w:rPr>
      </w:pPr>
      <w:r>
        <w:rPr>
          <w:rFonts w:ascii="仿宋_GB2312" w:eastAsia="仿宋_GB2312" w:hAnsi="宋体" w:hint="eastAsia"/>
          <w:b/>
          <w:bCs/>
          <w:color w:val="000000" w:themeColor="text1"/>
          <w:sz w:val="32"/>
        </w:rPr>
        <w:t>项目负责人：</w:t>
      </w:r>
      <w:r>
        <w:rPr>
          <w:rFonts w:ascii="仿宋_GB2312" w:eastAsia="仿宋_GB2312" w:hAnsi="宋体" w:hint="eastAsia"/>
          <w:b/>
          <w:bCs/>
          <w:color w:val="000000" w:themeColor="text1"/>
          <w:sz w:val="32"/>
          <w:u w:val="single"/>
        </w:rPr>
        <w:t xml:space="preserve"> </w:t>
      </w:r>
      <w:r>
        <w:rPr>
          <w:rFonts w:ascii="仿宋_GB2312" w:eastAsia="仿宋_GB2312" w:hAnsi="宋体" w:hint="eastAsia"/>
          <w:b/>
          <w:bCs/>
          <w:color w:val="000000" w:themeColor="text1"/>
          <w:sz w:val="28"/>
          <w:u w:val="single"/>
        </w:rPr>
        <w:t xml:space="preserve">          </w:t>
      </w:r>
      <w:r>
        <w:rPr>
          <w:rFonts w:ascii="仿宋_GB2312" w:eastAsia="仿宋_GB2312" w:hAnsi="宋体" w:hint="eastAsia"/>
          <w:b/>
          <w:bCs/>
          <w:color w:val="000000" w:themeColor="text1"/>
          <w:sz w:val="32"/>
          <w:szCs w:val="28"/>
          <w:u w:val="single"/>
        </w:rPr>
        <w:t xml:space="preserve">马书晗 </w:t>
      </w:r>
      <w:r>
        <w:rPr>
          <w:rFonts w:ascii="仿宋_GB2312" w:eastAsia="仿宋_GB2312" w:hAnsi="宋体" w:hint="eastAsia"/>
          <w:b/>
          <w:bCs/>
          <w:color w:val="000000" w:themeColor="text1"/>
          <w:sz w:val="28"/>
          <w:u w:val="single"/>
        </w:rPr>
        <w:t xml:space="preserve">                   </w:t>
      </w:r>
    </w:p>
    <w:p w14:paraId="6219F592" w14:textId="77777777" w:rsidR="00E22223" w:rsidRDefault="00000000">
      <w:pPr>
        <w:ind w:firstLineChars="200" w:firstLine="643"/>
        <w:rPr>
          <w:rFonts w:ascii="仿宋_GB2312" w:eastAsia="仿宋_GB2312" w:hAnsi="宋体"/>
          <w:b/>
          <w:bCs/>
          <w:color w:val="000000" w:themeColor="text1"/>
          <w:sz w:val="32"/>
          <w:u w:val="single"/>
        </w:rPr>
      </w:pPr>
      <w:r>
        <w:rPr>
          <w:rFonts w:ascii="仿宋_GB2312" w:eastAsia="仿宋_GB2312" w:hAnsi="宋体" w:hint="eastAsia"/>
          <w:b/>
          <w:bCs/>
          <w:color w:val="000000" w:themeColor="text1"/>
          <w:sz w:val="32"/>
        </w:rPr>
        <w:t>所在学院：</w:t>
      </w:r>
      <w:r>
        <w:rPr>
          <w:rFonts w:ascii="仿宋_GB2312" w:eastAsia="仿宋_GB2312" w:hAnsi="宋体" w:hint="eastAsia"/>
          <w:b/>
          <w:bCs/>
          <w:color w:val="000000" w:themeColor="text1"/>
          <w:sz w:val="32"/>
          <w:u w:val="single"/>
        </w:rPr>
        <w:t xml:space="preserve">       生物医学工程学院            </w:t>
      </w:r>
    </w:p>
    <w:p w14:paraId="18EED6DB" w14:textId="77777777" w:rsidR="00E22223" w:rsidRDefault="00000000">
      <w:pPr>
        <w:ind w:firstLineChars="200" w:firstLine="643"/>
        <w:rPr>
          <w:rFonts w:ascii="仿宋_GB2312" w:eastAsia="仿宋_GB2312" w:hAnsi="宋体"/>
          <w:b/>
          <w:bCs/>
          <w:color w:val="000000" w:themeColor="text1"/>
          <w:sz w:val="32"/>
          <w:u w:val="single"/>
        </w:rPr>
      </w:pPr>
      <w:r>
        <w:rPr>
          <w:rFonts w:ascii="仿宋_GB2312" w:eastAsia="仿宋_GB2312" w:hAnsi="宋体" w:hint="eastAsia"/>
          <w:b/>
          <w:bCs/>
          <w:color w:val="000000" w:themeColor="text1"/>
          <w:sz w:val="32"/>
        </w:rPr>
        <w:t>专业年级：</w:t>
      </w:r>
      <w:r>
        <w:rPr>
          <w:rFonts w:ascii="仿宋_GB2312" w:eastAsia="仿宋_GB2312" w:hAnsi="宋体" w:hint="eastAsia"/>
          <w:b/>
          <w:bCs/>
          <w:color w:val="000000" w:themeColor="text1"/>
          <w:sz w:val="32"/>
          <w:u w:val="single"/>
        </w:rPr>
        <w:t xml:space="preserve">            2020级        </w:t>
      </w:r>
      <w:r>
        <w:rPr>
          <w:rFonts w:ascii="仿宋_GB2312" w:eastAsia="仿宋_GB2312" w:hAnsi="宋体" w:hint="eastAsia"/>
          <w:b/>
          <w:color w:val="000000" w:themeColor="text1"/>
          <w:sz w:val="32"/>
          <w:u w:val="single"/>
        </w:rPr>
        <w:t xml:space="preserve">         </w:t>
      </w:r>
    </w:p>
    <w:p w14:paraId="1DB549DB" w14:textId="77777777" w:rsidR="00E22223" w:rsidRDefault="00000000">
      <w:pPr>
        <w:ind w:firstLineChars="200" w:firstLine="643"/>
        <w:rPr>
          <w:rFonts w:ascii="仿宋_GB2312" w:eastAsia="仿宋_GB2312" w:hAnsi="宋体"/>
          <w:b/>
          <w:bCs/>
          <w:color w:val="000000" w:themeColor="text1"/>
          <w:sz w:val="32"/>
          <w:u w:val="single"/>
        </w:rPr>
      </w:pPr>
      <w:r>
        <w:rPr>
          <w:rFonts w:ascii="仿宋_GB2312" w:eastAsia="仿宋_GB2312" w:hAnsi="宋体" w:hint="eastAsia"/>
          <w:b/>
          <w:bCs/>
          <w:color w:val="000000" w:themeColor="text1"/>
          <w:sz w:val="32"/>
        </w:rPr>
        <w:t>学    号：</w:t>
      </w:r>
      <w:r>
        <w:rPr>
          <w:rFonts w:ascii="仿宋_GB2312" w:eastAsia="仿宋_GB2312" w:hAnsi="宋体" w:hint="eastAsia"/>
          <w:b/>
          <w:bCs/>
          <w:color w:val="000000" w:themeColor="text1"/>
          <w:sz w:val="32"/>
          <w:u w:val="single"/>
        </w:rPr>
        <w:t xml:space="preserve">         </w:t>
      </w:r>
      <w:r>
        <w:rPr>
          <w:rFonts w:ascii="仿宋_GB2312" w:eastAsia="仿宋_GB2312" w:hAnsi="宋体" w:hint="eastAsia"/>
          <w:b/>
          <w:color w:val="000000" w:themeColor="text1"/>
          <w:sz w:val="32"/>
          <w:u w:val="single"/>
        </w:rPr>
        <w:t xml:space="preserve">2019141660106             </w:t>
      </w:r>
    </w:p>
    <w:p w14:paraId="4EDF162C" w14:textId="77777777" w:rsidR="00E22223" w:rsidRDefault="00000000">
      <w:pPr>
        <w:ind w:firstLineChars="200" w:firstLine="643"/>
        <w:rPr>
          <w:rFonts w:ascii="仿宋_GB2312" w:eastAsia="仿宋_GB2312" w:hAnsi="宋体"/>
          <w:b/>
          <w:color w:val="000000" w:themeColor="text1"/>
          <w:u w:val="single"/>
        </w:rPr>
      </w:pPr>
      <w:r>
        <w:rPr>
          <w:rFonts w:ascii="仿宋_GB2312" w:eastAsia="仿宋_GB2312" w:hAnsi="宋体" w:hint="eastAsia"/>
          <w:b/>
          <w:bCs/>
          <w:color w:val="000000" w:themeColor="text1"/>
          <w:sz w:val="32"/>
        </w:rPr>
        <w:t>手    机：</w:t>
      </w:r>
      <w:r>
        <w:rPr>
          <w:rFonts w:ascii="仿宋_GB2312" w:eastAsia="仿宋_GB2312" w:hAnsi="宋体" w:hint="eastAsia"/>
          <w:b/>
          <w:bCs/>
          <w:color w:val="000000" w:themeColor="text1"/>
          <w:sz w:val="32"/>
          <w:u w:val="single"/>
        </w:rPr>
        <w:t xml:space="preserve">          13891579783    </w:t>
      </w:r>
      <w:r>
        <w:rPr>
          <w:rFonts w:ascii="仿宋_GB2312" w:eastAsia="仿宋_GB2312" w:hAnsi="宋体" w:hint="eastAsia"/>
          <w:b/>
          <w:color w:val="000000" w:themeColor="text1"/>
          <w:u w:val="single"/>
        </w:rPr>
        <w:t xml:space="preserve">               </w:t>
      </w:r>
    </w:p>
    <w:p w14:paraId="5F6277FD" w14:textId="77777777" w:rsidR="00E22223" w:rsidRDefault="00000000">
      <w:pPr>
        <w:ind w:firstLineChars="200" w:firstLine="643"/>
        <w:rPr>
          <w:rFonts w:ascii="仿宋_GB2312" w:eastAsia="仿宋_GB2312" w:hAnsi="宋体"/>
          <w:b/>
          <w:bCs/>
          <w:color w:val="000000" w:themeColor="text1"/>
          <w:sz w:val="32"/>
          <w:u w:val="single"/>
        </w:rPr>
      </w:pPr>
      <w:r>
        <w:rPr>
          <w:rFonts w:ascii="仿宋_GB2312" w:eastAsia="仿宋_GB2312" w:hAnsi="宋体" w:hint="eastAsia"/>
          <w:b/>
          <w:bCs/>
          <w:color w:val="000000" w:themeColor="text1"/>
          <w:sz w:val="32"/>
        </w:rPr>
        <w:t>电子邮箱：</w:t>
      </w:r>
      <w:r>
        <w:rPr>
          <w:rFonts w:ascii="仿宋_GB2312" w:eastAsia="仿宋_GB2312" w:hAnsi="宋体" w:hint="eastAsia"/>
          <w:b/>
          <w:bCs/>
          <w:color w:val="000000" w:themeColor="text1"/>
          <w:sz w:val="32"/>
          <w:u w:val="single"/>
        </w:rPr>
        <w:t xml:space="preserve">        shuhan_pp@outlook.com      </w:t>
      </w:r>
    </w:p>
    <w:p w14:paraId="5FA2153A" w14:textId="77777777" w:rsidR="00E22223" w:rsidRDefault="00000000">
      <w:pPr>
        <w:ind w:firstLineChars="200" w:firstLine="643"/>
        <w:rPr>
          <w:rFonts w:ascii="仿宋_GB2312" w:eastAsia="仿宋_GB2312" w:hAnsi="宋体"/>
          <w:b/>
          <w:bCs/>
          <w:color w:val="000000" w:themeColor="text1"/>
          <w:sz w:val="32"/>
          <w:u w:val="single"/>
        </w:rPr>
      </w:pPr>
      <w:r>
        <w:rPr>
          <w:rFonts w:ascii="仿宋_GB2312" w:eastAsia="仿宋_GB2312" w:hAnsi="宋体" w:hint="eastAsia"/>
          <w:b/>
          <w:bCs/>
          <w:color w:val="000000" w:themeColor="text1"/>
          <w:sz w:val="32"/>
        </w:rPr>
        <w:t>指导教师：</w:t>
      </w:r>
      <w:r>
        <w:rPr>
          <w:rFonts w:ascii="仿宋_GB2312" w:eastAsia="仿宋_GB2312" w:hAnsi="宋体" w:hint="eastAsia"/>
          <w:b/>
          <w:bCs/>
          <w:color w:val="000000" w:themeColor="text1"/>
          <w:sz w:val="32"/>
          <w:u w:val="single"/>
        </w:rPr>
        <w:t xml:space="preserve">            吕志彬                 </w:t>
      </w:r>
    </w:p>
    <w:p w14:paraId="6815369F" w14:textId="77777777" w:rsidR="00E22223" w:rsidRDefault="00000000">
      <w:pPr>
        <w:ind w:firstLineChars="200" w:firstLine="643"/>
        <w:rPr>
          <w:rFonts w:ascii="仿宋_GB2312" w:eastAsia="仿宋_GB2312" w:hAnsi="宋体"/>
          <w:b/>
          <w:bCs/>
          <w:color w:val="000000" w:themeColor="text1"/>
          <w:sz w:val="32"/>
          <w:u w:val="single"/>
        </w:rPr>
      </w:pPr>
      <w:r>
        <w:rPr>
          <w:rFonts w:ascii="仿宋_GB2312" w:eastAsia="仿宋_GB2312" w:hAnsi="宋体" w:hint="eastAsia"/>
          <w:b/>
          <w:bCs/>
          <w:color w:val="000000" w:themeColor="text1"/>
          <w:sz w:val="32"/>
        </w:rPr>
        <w:t>项目起止年月：</w:t>
      </w:r>
      <w:r>
        <w:rPr>
          <w:rFonts w:ascii="仿宋_GB2312" w:eastAsia="仿宋_GB2312" w:hAnsi="宋体" w:hint="eastAsia"/>
          <w:b/>
          <w:bCs/>
          <w:color w:val="000000" w:themeColor="text1"/>
          <w:sz w:val="32"/>
          <w:u w:val="single"/>
        </w:rPr>
        <w:t xml:space="preserve">    </w:t>
      </w:r>
      <w:r>
        <w:rPr>
          <w:rFonts w:ascii="仿宋_GB2312" w:eastAsia="仿宋_GB2312" w:hAnsi="宋体"/>
          <w:b/>
          <w:bCs/>
          <w:color w:val="000000" w:themeColor="text1"/>
          <w:sz w:val="32"/>
          <w:u w:val="single"/>
        </w:rPr>
        <w:t>202</w:t>
      </w:r>
      <w:r>
        <w:rPr>
          <w:rFonts w:ascii="仿宋_GB2312" w:eastAsia="仿宋_GB2312" w:hAnsi="宋体" w:hint="eastAsia"/>
          <w:b/>
          <w:bCs/>
          <w:color w:val="000000" w:themeColor="text1"/>
          <w:sz w:val="32"/>
          <w:u w:val="single"/>
        </w:rPr>
        <w:t xml:space="preserve">2年11月至2023年10月  </w:t>
      </w:r>
    </w:p>
    <w:p w14:paraId="10DD68D3" w14:textId="77777777" w:rsidR="00E22223" w:rsidRDefault="00000000">
      <w:pPr>
        <w:ind w:firstLineChars="200" w:firstLine="643"/>
        <w:rPr>
          <w:rFonts w:ascii="仿宋_GB2312" w:eastAsia="仿宋_GB2312" w:hAnsi="宋体"/>
          <w:b/>
          <w:bCs/>
          <w:color w:val="000000" w:themeColor="text1"/>
          <w:sz w:val="32"/>
          <w:u w:val="single"/>
        </w:rPr>
      </w:pPr>
      <w:r>
        <w:rPr>
          <w:rFonts w:ascii="仿宋_GB2312" w:eastAsia="仿宋_GB2312" w:hAnsi="宋体" w:hint="eastAsia"/>
          <w:b/>
          <w:bCs/>
          <w:color w:val="000000" w:themeColor="text1"/>
          <w:sz w:val="32"/>
        </w:rPr>
        <w:t>项目参与学生人数：</w:t>
      </w:r>
      <w:r>
        <w:rPr>
          <w:rFonts w:ascii="仿宋_GB2312" w:eastAsia="仿宋_GB2312" w:hAnsi="宋体" w:hint="eastAsia"/>
          <w:b/>
          <w:bCs/>
          <w:color w:val="000000" w:themeColor="text1"/>
          <w:sz w:val="32"/>
          <w:u w:val="single"/>
        </w:rPr>
        <w:t xml:space="preserve">       4                 </w:t>
      </w:r>
      <w:r>
        <w:rPr>
          <w:rFonts w:ascii="仿宋_GB2312" w:eastAsia="仿宋_GB2312" w:hAnsi="宋体"/>
          <w:b/>
          <w:bCs/>
          <w:color w:val="000000" w:themeColor="text1"/>
          <w:sz w:val="32"/>
          <w:u w:val="single"/>
        </w:rPr>
        <w:t xml:space="preserve">  </w:t>
      </w:r>
    </w:p>
    <w:p w14:paraId="190B322F" w14:textId="77777777" w:rsidR="00E22223" w:rsidRDefault="00E22223">
      <w:pPr>
        <w:ind w:firstLineChars="200" w:firstLine="643"/>
        <w:rPr>
          <w:rFonts w:ascii="仿宋_GB2312" w:eastAsia="仿宋_GB2312"/>
          <w:b/>
          <w:bCs/>
          <w:color w:val="000000" w:themeColor="text1"/>
          <w:sz w:val="32"/>
        </w:rPr>
      </w:pPr>
    </w:p>
    <w:p w14:paraId="5D90EC25" w14:textId="77777777" w:rsidR="00E22223" w:rsidRDefault="00E22223">
      <w:pPr>
        <w:rPr>
          <w:rFonts w:ascii="仿宋_GB2312" w:eastAsia="仿宋_GB2312" w:hAnsi="宋体"/>
          <w:color w:val="000000" w:themeColor="text1"/>
          <w:sz w:val="24"/>
        </w:rPr>
      </w:pPr>
    </w:p>
    <w:p w14:paraId="1BC034B0" w14:textId="77777777" w:rsidR="00E22223" w:rsidRDefault="00000000">
      <w:pPr>
        <w:jc w:val="center"/>
        <w:rPr>
          <w:rFonts w:ascii="宋体" w:hAnsi="宋体"/>
          <w:b/>
          <w:bCs/>
          <w:color w:val="000000" w:themeColor="text1"/>
          <w:sz w:val="44"/>
        </w:rPr>
      </w:pPr>
      <w:r>
        <w:rPr>
          <w:rFonts w:ascii="宋体" w:hAnsi="宋体" w:hint="eastAsia"/>
          <w:b/>
          <w:bCs/>
          <w:color w:val="000000" w:themeColor="text1"/>
          <w:sz w:val="44"/>
        </w:rPr>
        <w:t>四川大学教务处制</w:t>
      </w:r>
    </w:p>
    <w:p w14:paraId="37B21755" w14:textId="77777777" w:rsidR="00E22223" w:rsidRDefault="00E22223">
      <w:pPr>
        <w:jc w:val="center"/>
        <w:rPr>
          <w:rFonts w:ascii="宋体" w:hAnsi="宋体"/>
          <w:b/>
          <w:bCs/>
          <w:color w:val="000000" w:themeColor="text1"/>
          <w:sz w:val="44"/>
        </w:rPr>
      </w:pPr>
    </w:p>
    <w:p w14:paraId="4635F816" w14:textId="77777777" w:rsidR="00E22223" w:rsidRDefault="00000000">
      <w:pPr>
        <w:pStyle w:val="a3"/>
        <w:ind w:leftChars="47" w:left="99"/>
        <w:jc w:val="center"/>
        <w:rPr>
          <w:color w:val="000000" w:themeColor="text1"/>
          <w:sz w:val="36"/>
        </w:rPr>
      </w:pPr>
      <w:r>
        <w:rPr>
          <w:rFonts w:hint="eastAsia"/>
          <w:color w:val="000000" w:themeColor="text1"/>
          <w:sz w:val="36"/>
        </w:rPr>
        <w:t>2022 年 11月</w:t>
      </w:r>
    </w:p>
    <w:p w14:paraId="1F7B4686" w14:textId="77777777" w:rsidR="00E22223" w:rsidRDefault="00000000">
      <w:pPr>
        <w:pStyle w:val="a3"/>
        <w:spacing w:line="720" w:lineRule="auto"/>
        <w:ind w:leftChars="47" w:left="99"/>
        <w:jc w:val="center"/>
        <w:rPr>
          <w:rFonts w:cs="宋体"/>
          <w:color w:val="000000" w:themeColor="text1"/>
          <w:kern w:val="0"/>
          <w:sz w:val="28"/>
          <w:szCs w:val="24"/>
        </w:rPr>
      </w:pPr>
      <w:r>
        <w:rPr>
          <w:rFonts w:cs="宋体" w:hint="eastAsia"/>
          <w:color w:val="000000" w:themeColor="text1"/>
          <w:kern w:val="0"/>
          <w:sz w:val="28"/>
          <w:szCs w:val="24"/>
        </w:rPr>
        <w:lastRenderedPageBreak/>
        <w:t>填写说明</w:t>
      </w:r>
    </w:p>
    <w:p w14:paraId="574D570C" w14:textId="77777777" w:rsidR="00E22223" w:rsidRDefault="00000000">
      <w:pPr>
        <w:spacing w:line="360" w:lineRule="auto"/>
        <w:ind w:firstLineChars="250" w:firstLine="600"/>
        <w:rPr>
          <w:rFonts w:ascii="仿宋_GB2312" w:eastAsia="仿宋_GB2312" w:hAnsi="宋体" w:cs="宋体"/>
          <w:color w:val="000000" w:themeColor="text1"/>
          <w:kern w:val="0"/>
          <w:sz w:val="30"/>
          <w:szCs w:val="30"/>
        </w:rPr>
      </w:pPr>
      <w:r>
        <w:rPr>
          <w:rFonts w:ascii="宋体" w:hAnsi="宋体" w:hint="eastAsia"/>
          <w:bCs/>
          <w:color w:val="000000" w:themeColor="text1"/>
          <w:sz w:val="24"/>
        </w:rPr>
        <w:t>一、凡申报</w:t>
      </w:r>
      <w:r>
        <w:rPr>
          <w:rFonts w:ascii="宋体" w:hAnsi="宋体" w:cs="宋体" w:hint="eastAsia"/>
          <w:b/>
          <w:color w:val="000000" w:themeColor="text1"/>
          <w:kern w:val="0"/>
          <w:sz w:val="24"/>
        </w:rPr>
        <w:t>四川大学“国家级大学生创新创业训练计划”</w:t>
      </w:r>
      <w:r>
        <w:rPr>
          <w:rFonts w:ascii="宋体" w:hAnsi="宋体" w:hint="eastAsia"/>
          <w:bCs/>
          <w:color w:val="000000" w:themeColor="text1"/>
          <w:sz w:val="24"/>
        </w:rPr>
        <w:t>必须填写本申报书。创新类项目是本科生个人或团队，在导师指导下，自主完成创新性研究项目设计、研究条件准备和项目实施、研究报告撰写、成果（学术</w:t>
      </w:r>
      <w:r>
        <w:rPr>
          <w:rFonts w:ascii="宋体" w:hAnsi="宋体"/>
          <w:bCs/>
          <w:color w:val="000000" w:themeColor="text1"/>
          <w:sz w:val="24"/>
        </w:rPr>
        <w:t>）</w:t>
      </w:r>
      <w:r>
        <w:rPr>
          <w:rFonts w:ascii="宋体" w:hAnsi="宋体" w:hint="eastAsia"/>
          <w:bCs/>
          <w:color w:val="000000" w:themeColor="text1"/>
          <w:sz w:val="24"/>
        </w:rPr>
        <w:t>交流等工作。</w:t>
      </w:r>
    </w:p>
    <w:p w14:paraId="4D11556E" w14:textId="77777777" w:rsidR="00E22223" w:rsidRDefault="00000000">
      <w:pPr>
        <w:spacing w:line="360" w:lineRule="auto"/>
        <w:ind w:firstLineChars="245" w:firstLine="590"/>
        <w:rPr>
          <w:rFonts w:ascii="宋体" w:hAnsi="宋体"/>
          <w:bCs/>
          <w:color w:val="000000" w:themeColor="text1"/>
          <w:sz w:val="24"/>
        </w:rPr>
      </w:pPr>
      <w:r>
        <w:rPr>
          <w:rFonts w:ascii="宋体" w:hAnsi="宋体" w:hint="eastAsia"/>
          <w:b/>
          <w:bCs/>
          <w:color w:val="000000" w:themeColor="text1"/>
          <w:sz w:val="24"/>
        </w:rPr>
        <w:t>二、</w:t>
      </w:r>
      <w:r>
        <w:rPr>
          <w:rFonts w:ascii="宋体" w:hAnsi="宋体"/>
          <w:b/>
          <w:bCs/>
          <w:color w:val="000000" w:themeColor="text1"/>
          <w:sz w:val="24"/>
        </w:rPr>
        <w:t>“项目所属一级学科</w:t>
      </w:r>
      <w:r>
        <w:rPr>
          <w:rFonts w:ascii="宋体" w:hAnsi="宋体" w:hint="eastAsia"/>
          <w:b/>
          <w:bCs/>
          <w:color w:val="000000" w:themeColor="text1"/>
          <w:sz w:val="24"/>
        </w:rPr>
        <w:t>和</w:t>
      </w:r>
      <w:r>
        <w:rPr>
          <w:rFonts w:ascii="宋体" w:hAnsi="宋体"/>
          <w:b/>
          <w:bCs/>
          <w:color w:val="000000" w:themeColor="text1"/>
          <w:sz w:val="24"/>
        </w:rPr>
        <w:t>代码”</w:t>
      </w:r>
      <w:r>
        <w:rPr>
          <w:rFonts w:ascii="宋体" w:hAnsi="宋体" w:hint="eastAsia"/>
          <w:bCs/>
          <w:color w:val="000000" w:themeColor="text1"/>
          <w:sz w:val="24"/>
        </w:rPr>
        <w:t>参考《普通高等学校本科专业目录和专业介绍（2012年）》。</w:t>
      </w:r>
    </w:p>
    <w:p w14:paraId="2D073048" w14:textId="77777777" w:rsidR="00E22223" w:rsidRDefault="00000000">
      <w:pPr>
        <w:spacing w:line="360" w:lineRule="auto"/>
        <w:ind w:firstLineChars="250" w:firstLine="600"/>
        <w:rPr>
          <w:rFonts w:ascii="宋体" w:hAnsi="宋体"/>
          <w:color w:val="000000" w:themeColor="text1"/>
          <w:sz w:val="24"/>
        </w:rPr>
      </w:pPr>
      <w:r>
        <w:rPr>
          <w:rFonts w:ascii="宋体" w:hAnsi="宋体" w:hint="eastAsia"/>
          <w:color w:val="000000" w:themeColor="text1"/>
          <w:sz w:val="24"/>
        </w:rPr>
        <w:t>三、</w:t>
      </w:r>
      <w:r>
        <w:rPr>
          <w:rFonts w:ascii="宋体" w:hAnsi="宋体" w:hint="eastAsia"/>
          <w:b/>
          <w:color w:val="000000" w:themeColor="text1"/>
          <w:sz w:val="24"/>
        </w:rPr>
        <w:t>“</w:t>
      </w:r>
      <w:r>
        <w:rPr>
          <w:rFonts w:ascii="宋体" w:hAnsi="宋体" w:hint="eastAsia"/>
          <w:b/>
          <w:bCs/>
          <w:color w:val="000000" w:themeColor="text1"/>
          <w:sz w:val="24"/>
        </w:rPr>
        <w:t>项目开展支撑平台”</w:t>
      </w:r>
      <w:r>
        <w:rPr>
          <w:rFonts w:ascii="宋体" w:hAnsi="宋体" w:hint="eastAsia"/>
          <w:color w:val="000000" w:themeColor="text1"/>
          <w:sz w:val="24"/>
        </w:rPr>
        <w:t>指支撑本项目开展的国家级和省部级重点实验室（中心、平台等）、国家双创示范基地平台、教学实验中心（实验室）、企业、事业或其他单位等，表中填写平台名称，可以多个。</w:t>
      </w:r>
    </w:p>
    <w:p w14:paraId="07D41366" w14:textId="77777777" w:rsidR="00E22223" w:rsidRDefault="00000000">
      <w:pPr>
        <w:spacing w:line="360" w:lineRule="auto"/>
        <w:ind w:firstLineChars="250" w:firstLine="600"/>
        <w:rPr>
          <w:rFonts w:ascii="宋体" w:hAnsi="宋体"/>
          <w:color w:val="000000" w:themeColor="text1"/>
          <w:sz w:val="24"/>
        </w:rPr>
      </w:pPr>
      <w:r>
        <w:rPr>
          <w:rFonts w:ascii="宋体" w:hAnsi="宋体" w:hint="eastAsia"/>
          <w:color w:val="000000" w:themeColor="text1"/>
          <w:sz w:val="24"/>
        </w:rPr>
        <w:t>四、</w:t>
      </w:r>
      <w:r>
        <w:rPr>
          <w:rFonts w:ascii="宋体" w:hAnsi="宋体" w:hint="eastAsia"/>
          <w:b/>
          <w:color w:val="000000" w:themeColor="text1"/>
          <w:sz w:val="24"/>
        </w:rPr>
        <w:t>“项目组成员”</w:t>
      </w:r>
      <w:r>
        <w:rPr>
          <w:rFonts w:ascii="宋体" w:hAnsi="宋体" w:hint="eastAsia"/>
          <w:color w:val="000000" w:themeColor="text1"/>
          <w:sz w:val="24"/>
        </w:rPr>
        <w:t>人数原则上不超过五人，应排序。</w:t>
      </w:r>
    </w:p>
    <w:p w14:paraId="6DF8F057" w14:textId="77777777" w:rsidR="00E22223" w:rsidRDefault="00000000">
      <w:pPr>
        <w:spacing w:line="360" w:lineRule="auto"/>
        <w:ind w:firstLineChars="250" w:firstLine="600"/>
        <w:rPr>
          <w:rFonts w:ascii="宋体" w:hAnsi="宋体"/>
          <w:color w:val="000000" w:themeColor="text1"/>
          <w:sz w:val="24"/>
        </w:rPr>
      </w:pPr>
      <w:r>
        <w:rPr>
          <w:rFonts w:ascii="宋体" w:hAnsi="宋体" w:hint="eastAsia"/>
          <w:color w:val="000000" w:themeColor="text1"/>
          <w:sz w:val="24"/>
        </w:rPr>
        <w:t>五、</w:t>
      </w:r>
      <w:r>
        <w:rPr>
          <w:rFonts w:ascii="宋体" w:hAnsi="宋体" w:hint="eastAsia"/>
          <w:b/>
          <w:color w:val="000000" w:themeColor="text1"/>
          <w:sz w:val="24"/>
        </w:rPr>
        <w:t>“项目成熟度</w:t>
      </w:r>
      <w:r>
        <w:rPr>
          <w:rFonts w:ascii="宋体" w:hAnsi="宋体" w:hint="eastAsia"/>
          <w:color w:val="000000" w:themeColor="text1"/>
          <w:sz w:val="24"/>
        </w:rPr>
        <w:t>”请参考附件《项目成熟度量表》。</w:t>
      </w:r>
    </w:p>
    <w:p w14:paraId="022933F8" w14:textId="77777777" w:rsidR="00E22223" w:rsidRDefault="00000000">
      <w:pPr>
        <w:spacing w:line="360" w:lineRule="auto"/>
        <w:ind w:firstLineChars="250" w:firstLine="600"/>
        <w:rPr>
          <w:rFonts w:ascii="宋体" w:hAnsi="宋体"/>
          <w:bCs/>
          <w:color w:val="000000" w:themeColor="text1"/>
          <w:sz w:val="24"/>
        </w:rPr>
      </w:pPr>
      <w:bookmarkStart w:id="0" w:name="_Hlk531880973"/>
      <w:r>
        <w:rPr>
          <w:rFonts w:ascii="宋体" w:hAnsi="宋体" w:hint="eastAsia"/>
          <w:bCs/>
          <w:color w:val="000000" w:themeColor="text1"/>
          <w:sz w:val="24"/>
        </w:rPr>
        <w:t>六、本书应该填写完整、内容详实、表达准确，数字一律填写阿拉伯数字。</w:t>
      </w:r>
    </w:p>
    <w:p w14:paraId="01BB560A" w14:textId="77777777" w:rsidR="00E22223" w:rsidRDefault="00000000">
      <w:pPr>
        <w:spacing w:line="360" w:lineRule="auto"/>
        <w:ind w:firstLineChars="250" w:firstLine="600"/>
        <w:rPr>
          <w:rFonts w:ascii="宋体" w:hAnsi="宋体"/>
          <w:bCs/>
          <w:color w:val="000000" w:themeColor="text1"/>
          <w:sz w:val="24"/>
        </w:rPr>
      </w:pPr>
      <w:r>
        <w:rPr>
          <w:rFonts w:ascii="宋体" w:hAnsi="宋体" w:hint="eastAsia"/>
          <w:bCs/>
          <w:color w:val="000000" w:themeColor="text1"/>
          <w:sz w:val="24"/>
        </w:rPr>
        <w:t>七、报送申报书的电子文档至负责人所在学院。</w:t>
      </w:r>
    </w:p>
    <w:bookmarkEnd w:id="0"/>
    <w:p w14:paraId="0AE05FCE" w14:textId="77777777" w:rsidR="00E22223" w:rsidRDefault="00000000">
      <w:pPr>
        <w:spacing w:line="360" w:lineRule="auto"/>
        <w:ind w:firstLineChars="200" w:firstLine="480"/>
        <w:rPr>
          <w:rFonts w:ascii="仿宋_GB2312" w:eastAsia="仿宋_GB2312" w:hAnsi="宋体"/>
          <w:bCs/>
          <w:color w:val="000000" w:themeColor="text1"/>
          <w:sz w:val="24"/>
        </w:rPr>
      </w:pPr>
      <w:r>
        <w:rPr>
          <w:rFonts w:ascii="仿宋_GB2312" w:eastAsia="仿宋_GB2312" w:hAnsi="宋体"/>
          <w:bCs/>
          <w:color w:val="000000" w:themeColor="text1"/>
          <w:sz w:val="24"/>
        </w:rPr>
        <w:br w:type="page"/>
      </w:r>
    </w:p>
    <w:tbl>
      <w:tblPr>
        <w:tblW w:w="8237" w:type="dxa"/>
        <w:tblLayout w:type="fixed"/>
        <w:tblCellMar>
          <w:left w:w="0" w:type="dxa"/>
          <w:right w:w="0" w:type="dxa"/>
        </w:tblCellMar>
        <w:tblLook w:val="04A0" w:firstRow="1" w:lastRow="0" w:firstColumn="1" w:lastColumn="0" w:noHBand="0" w:noVBand="1"/>
      </w:tblPr>
      <w:tblGrid>
        <w:gridCol w:w="1550"/>
        <w:gridCol w:w="1984"/>
        <w:gridCol w:w="167"/>
        <w:gridCol w:w="2101"/>
        <w:gridCol w:w="2435"/>
      </w:tblGrid>
      <w:tr w:rsidR="00E22223" w14:paraId="2CB1B619" w14:textId="77777777">
        <w:trPr>
          <w:trHeight w:val="674"/>
        </w:trPr>
        <w:tc>
          <w:tcPr>
            <w:tcW w:w="1550" w:type="dxa"/>
            <w:tcBorders>
              <w:top w:val="single" w:sz="8" w:space="0" w:color="auto"/>
              <w:left w:val="single" w:sz="8" w:space="0" w:color="auto"/>
              <w:bottom w:val="single" w:sz="4" w:space="0" w:color="auto"/>
              <w:right w:val="single" w:sz="4" w:space="0" w:color="auto"/>
            </w:tcBorders>
            <w:tcMar>
              <w:top w:w="15" w:type="dxa"/>
              <w:left w:w="15" w:type="dxa"/>
              <w:bottom w:w="0" w:type="dxa"/>
              <w:right w:w="15" w:type="dxa"/>
            </w:tcMar>
            <w:vAlign w:val="center"/>
          </w:tcPr>
          <w:p w14:paraId="5CC825B7" w14:textId="77777777" w:rsidR="00E22223" w:rsidRDefault="00000000">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lastRenderedPageBreak/>
              <w:t>项目名称</w:t>
            </w:r>
          </w:p>
        </w:tc>
        <w:tc>
          <w:tcPr>
            <w:tcW w:w="6687" w:type="dxa"/>
            <w:gridSpan w:val="4"/>
            <w:tcBorders>
              <w:top w:val="single" w:sz="8" w:space="0" w:color="auto"/>
              <w:left w:val="nil"/>
              <w:bottom w:val="single" w:sz="4" w:space="0" w:color="auto"/>
              <w:right w:val="single" w:sz="8" w:space="0" w:color="000000"/>
            </w:tcBorders>
            <w:tcMar>
              <w:top w:w="15" w:type="dxa"/>
              <w:left w:w="15" w:type="dxa"/>
              <w:bottom w:w="0" w:type="dxa"/>
              <w:right w:w="15" w:type="dxa"/>
            </w:tcMar>
            <w:vAlign w:val="center"/>
          </w:tcPr>
          <w:p w14:paraId="055BC56E" w14:textId="77777777" w:rsidR="00E22223" w:rsidRDefault="00000000">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融合</w:t>
            </w:r>
            <w:r>
              <w:rPr>
                <w:rFonts w:ascii="仿宋_GB2312" w:eastAsia="仿宋_GB2312" w:hAnsi="仿宋" w:cs="仿宋"/>
                <w:color w:val="000000" w:themeColor="text1"/>
                <w:sz w:val="24"/>
              </w:rPr>
              <w:t>BERT</w:t>
            </w:r>
            <w:r>
              <w:rPr>
                <w:rFonts w:ascii="仿宋_GB2312" w:eastAsia="仿宋_GB2312" w:hAnsi="仿宋" w:cs="仿宋" w:hint="eastAsia"/>
                <w:color w:val="000000" w:themeColor="text1"/>
                <w:sz w:val="24"/>
              </w:rPr>
              <w:t>表示学习的抗新冠病毒药物预筛选技术</w:t>
            </w:r>
          </w:p>
        </w:tc>
      </w:tr>
      <w:tr w:rsidR="00E22223" w14:paraId="292A41CF" w14:textId="77777777">
        <w:trPr>
          <w:trHeight w:val="674"/>
        </w:trPr>
        <w:tc>
          <w:tcPr>
            <w:tcW w:w="1550" w:type="dxa"/>
            <w:tcBorders>
              <w:top w:val="single" w:sz="8" w:space="0" w:color="auto"/>
              <w:left w:val="single" w:sz="8" w:space="0" w:color="auto"/>
              <w:bottom w:val="single" w:sz="4" w:space="0" w:color="auto"/>
              <w:right w:val="single" w:sz="4" w:space="0" w:color="auto"/>
            </w:tcBorders>
            <w:tcMar>
              <w:top w:w="15" w:type="dxa"/>
              <w:left w:w="15" w:type="dxa"/>
              <w:bottom w:w="0" w:type="dxa"/>
              <w:right w:w="15" w:type="dxa"/>
            </w:tcMar>
            <w:vAlign w:val="center"/>
          </w:tcPr>
          <w:p w14:paraId="38A3AC35" w14:textId="77777777" w:rsidR="00E22223" w:rsidRDefault="00000000">
            <w:pPr>
              <w:jc w:val="center"/>
              <w:rPr>
                <w:rFonts w:ascii="仿宋_GB2312" w:eastAsia="仿宋_GB2312" w:hAnsi="仿宋" w:cs="仿宋"/>
                <w:color w:val="000000" w:themeColor="text1"/>
                <w:sz w:val="24"/>
              </w:rPr>
            </w:pPr>
            <w:bookmarkStart w:id="1" w:name="_Hlk531881658"/>
            <w:r>
              <w:rPr>
                <w:rFonts w:ascii="仿宋_GB2312" w:eastAsia="仿宋_GB2312" w:hAnsi="仿宋" w:cs="仿宋" w:hint="eastAsia"/>
                <w:color w:val="000000" w:themeColor="text1"/>
                <w:sz w:val="24"/>
              </w:rPr>
              <w:t>项目属性</w:t>
            </w:r>
          </w:p>
        </w:tc>
        <w:tc>
          <w:tcPr>
            <w:tcW w:w="6687" w:type="dxa"/>
            <w:gridSpan w:val="4"/>
            <w:tcBorders>
              <w:top w:val="single" w:sz="8" w:space="0" w:color="auto"/>
              <w:left w:val="nil"/>
              <w:bottom w:val="single" w:sz="4" w:space="0" w:color="auto"/>
              <w:right w:val="single" w:sz="8" w:space="0" w:color="000000"/>
            </w:tcBorders>
            <w:tcMar>
              <w:top w:w="15" w:type="dxa"/>
              <w:left w:w="15" w:type="dxa"/>
              <w:bottom w:w="0" w:type="dxa"/>
              <w:right w:w="15" w:type="dxa"/>
            </w:tcMar>
            <w:vAlign w:val="center"/>
          </w:tcPr>
          <w:p w14:paraId="7A123FE6" w14:textId="77777777" w:rsidR="00E22223" w:rsidRDefault="00000000">
            <w:pP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 xml:space="preserve">√面上项目 </w:t>
            </w:r>
            <w:r>
              <w:rPr>
                <w:rFonts w:ascii="仿宋_GB2312" w:eastAsia="仿宋_GB2312" w:hAnsi="仿宋" w:cs="仿宋" w:hint="eastAsia"/>
                <w:color w:val="000000" w:themeColor="text1"/>
                <w:sz w:val="24"/>
              </w:rPr>
              <w:sym w:font="Wingdings 2" w:char="00A3"/>
            </w:r>
            <w:r>
              <w:rPr>
                <w:rFonts w:ascii="仿宋_GB2312" w:eastAsia="仿宋_GB2312" w:hAnsi="仿宋" w:cs="仿宋" w:hint="eastAsia"/>
                <w:color w:val="000000" w:themeColor="text1"/>
                <w:sz w:val="24"/>
              </w:rPr>
              <w:t xml:space="preserve">2035特区子计划项目 </w:t>
            </w:r>
            <w:r>
              <w:rPr>
                <w:rFonts w:ascii="仿宋_GB2312" w:eastAsia="仿宋_GB2312" w:hAnsi="仿宋" w:cs="仿宋" w:hint="eastAsia"/>
                <w:color w:val="000000" w:themeColor="text1"/>
                <w:sz w:val="24"/>
              </w:rPr>
              <w:sym w:font="Wingdings 2" w:char="00A3"/>
            </w:r>
            <w:r>
              <w:rPr>
                <w:rFonts w:ascii="仿宋_GB2312" w:eastAsia="仿宋_GB2312" w:hAnsi="仿宋" w:cs="仿宋" w:hint="eastAsia"/>
                <w:color w:val="000000" w:themeColor="text1"/>
                <w:sz w:val="24"/>
              </w:rPr>
              <w:t>交叉学科子计划项目</w:t>
            </w:r>
          </w:p>
        </w:tc>
      </w:tr>
      <w:tr w:rsidR="00E22223" w14:paraId="6653F95E" w14:textId="77777777">
        <w:trPr>
          <w:trHeight w:val="1041"/>
        </w:trPr>
        <w:tc>
          <w:tcPr>
            <w:tcW w:w="1550" w:type="dxa"/>
            <w:tcBorders>
              <w:top w:val="single" w:sz="8" w:space="0" w:color="auto"/>
              <w:left w:val="single" w:sz="8" w:space="0" w:color="auto"/>
              <w:bottom w:val="single" w:sz="4" w:space="0" w:color="auto"/>
              <w:right w:val="single" w:sz="4" w:space="0" w:color="auto"/>
            </w:tcBorders>
            <w:tcMar>
              <w:top w:w="15" w:type="dxa"/>
              <w:left w:w="15" w:type="dxa"/>
              <w:bottom w:w="0" w:type="dxa"/>
              <w:right w:w="15" w:type="dxa"/>
            </w:tcMar>
            <w:vAlign w:val="center"/>
          </w:tcPr>
          <w:p w14:paraId="552B615D" w14:textId="77777777" w:rsidR="00E22223" w:rsidRDefault="00000000">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申请类别</w:t>
            </w:r>
          </w:p>
        </w:tc>
        <w:tc>
          <w:tcPr>
            <w:tcW w:w="6687" w:type="dxa"/>
            <w:gridSpan w:val="4"/>
            <w:tcBorders>
              <w:top w:val="single" w:sz="8" w:space="0" w:color="auto"/>
              <w:left w:val="nil"/>
              <w:bottom w:val="single" w:sz="4" w:space="0" w:color="auto"/>
              <w:right w:val="single" w:sz="8" w:space="0" w:color="000000"/>
            </w:tcBorders>
            <w:tcMar>
              <w:top w:w="15" w:type="dxa"/>
              <w:left w:w="15" w:type="dxa"/>
              <w:bottom w:w="0" w:type="dxa"/>
              <w:right w:w="15" w:type="dxa"/>
            </w:tcMar>
            <w:vAlign w:val="center"/>
          </w:tcPr>
          <w:p w14:paraId="7C430B57" w14:textId="77777777" w:rsidR="00E22223" w:rsidRDefault="00000000">
            <w:pP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 xml:space="preserve">√科学探索与工程技术类 </w:t>
            </w:r>
            <w:r>
              <w:rPr>
                <w:rFonts w:ascii="仿宋_GB2312" w:eastAsia="仿宋_GB2312" w:hAnsi="仿宋" w:cs="仿宋" w:hint="eastAsia"/>
                <w:color w:val="000000" w:themeColor="text1"/>
                <w:sz w:val="24"/>
              </w:rPr>
              <w:sym w:font="Wingdings 2" w:char="F0A3"/>
            </w:r>
            <w:r>
              <w:rPr>
                <w:rFonts w:ascii="仿宋_GB2312" w:eastAsia="仿宋_GB2312" w:hAnsi="仿宋" w:cs="仿宋" w:hint="eastAsia"/>
                <w:color w:val="000000" w:themeColor="text1"/>
                <w:sz w:val="24"/>
              </w:rPr>
              <w:t xml:space="preserve">人文艺术与社会科学类 </w:t>
            </w:r>
          </w:p>
          <w:p w14:paraId="331711A7" w14:textId="77777777" w:rsidR="00E22223" w:rsidRDefault="00000000">
            <w:pPr>
              <w:rPr>
                <w:rFonts w:ascii="仿宋_GB2312" w:eastAsia="仿宋_GB2312" w:hAnsi="仿宋" w:cs="仿宋"/>
                <w:color w:val="000000"/>
                <w:sz w:val="24"/>
              </w:rPr>
            </w:pPr>
            <w:r>
              <w:rPr>
                <w:rFonts w:ascii="仿宋_GB2312" w:eastAsia="仿宋_GB2312" w:hAnsi="仿宋" w:cs="仿宋" w:hint="eastAsia"/>
                <w:color w:val="000000" w:themeColor="text1"/>
                <w:sz w:val="24"/>
              </w:rPr>
              <w:sym w:font="Wingdings 2" w:char="F0A3"/>
            </w:r>
            <w:r>
              <w:rPr>
                <w:rFonts w:ascii="仿宋_GB2312" w:eastAsia="仿宋_GB2312" w:hAnsi="仿宋" w:cs="仿宋" w:hint="eastAsia"/>
                <w:color w:val="000000"/>
                <w:sz w:val="24"/>
              </w:rPr>
              <w:t xml:space="preserve">软件信息与文创类     </w:t>
            </w:r>
            <w:r>
              <w:rPr>
                <w:rFonts w:ascii="仿宋_GB2312" w:eastAsia="仿宋_GB2312" w:hAnsi="仿宋" w:cs="仿宋" w:hint="eastAsia"/>
                <w:color w:val="000000" w:themeColor="text1"/>
                <w:sz w:val="24"/>
              </w:rPr>
              <w:sym w:font="Wingdings 2" w:char="00A3"/>
            </w:r>
            <w:r>
              <w:rPr>
                <w:rFonts w:ascii="仿宋_GB2312" w:eastAsia="仿宋_GB2312" w:hAnsi="仿宋" w:cs="仿宋" w:hint="eastAsia"/>
                <w:color w:val="000000"/>
                <w:sz w:val="24"/>
              </w:rPr>
              <w:t xml:space="preserve">智能装备与医疗器械类  </w:t>
            </w:r>
          </w:p>
          <w:p w14:paraId="170CEFB0" w14:textId="77777777" w:rsidR="00E22223" w:rsidRDefault="00000000">
            <w:pPr>
              <w:rPr>
                <w:rFonts w:ascii="仿宋_GB2312" w:eastAsia="仿宋_GB2312" w:hAnsi="仿宋" w:cs="仿宋"/>
                <w:color w:val="000000"/>
              </w:rPr>
            </w:pPr>
            <w:r>
              <w:rPr>
                <w:rFonts w:ascii="仿宋_GB2312" w:eastAsia="仿宋_GB2312" w:hAnsi="仿宋" w:cs="仿宋" w:hint="eastAsia"/>
                <w:color w:val="000000" w:themeColor="text1"/>
                <w:sz w:val="24"/>
              </w:rPr>
              <w:sym w:font="Wingdings 2" w:char="00A3"/>
            </w:r>
            <w:r>
              <w:rPr>
                <w:rFonts w:ascii="仿宋_GB2312" w:eastAsia="仿宋_GB2312" w:hAnsi="仿宋" w:cs="仿宋" w:hint="eastAsia"/>
                <w:color w:val="000000"/>
                <w:sz w:val="24"/>
              </w:rPr>
              <w:t>生物医药与新材料类</w:t>
            </w:r>
          </w:p>
        </w:tc>
      </w:tr>
      <w:bookmarkEnd w:id="1"/>
      <w:tr w:rsidR="00E22223" w14:paraId="495A3C77" w14:textId="77777777" w:rsidTr="002062AD">
        <w:trPr>
          <w:trHeight w:val="510"/>
        </w:trPr>
        <w:tc>
          <w:tcPr>
            <w:tcW w:w="1550"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14:paraId="3E928176" w14:textId="77777777" w:rsidR="00E22223" w:rsidRDefault="00000000">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申请经费</w:t>
            </w:r>
          </w:p>
        </w:tc>
        <w:tc>
          <w:tcPr>
            <w:tcW w:w="2151" w:type="dxa"/>
            <w:gridSpan w:val="2"/>
            <w:tcBorders>
              <w:top w:val="nil"/>
              <w:left w:val="nil"/>
              <w:bottom w:val="single" w:sz="4" w:space="0" w:color="auto"/>
              <w:right w:val="single" w:sz="4" w:space="0" w:color="auto"/>
            </w:tcBorders>
            <w:tcMar>
              <w:top w:w="15" w:type="dxa"/>
              <w:left w:w="15" w:type="dxa"/>
              <w:bottom w:w="0" w:type="dxa"/>
              <w:right w:w="15" w:type="dxa"/>
            </w:tcMar>
            <w:vAlign w:val="center"/>
          </w:tcPr>
          <w:p w14:paraId="157D5E71" w14:textId="77777777" w:rsidR="00E22223" w:rsidRDefault="00000000">
            <w:pPr>
              <w:ind w:firstLineChars="200" w:firstLine="480"/>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 xml:space="preserve"> 6500元</w:t>
            </w:r>
          </w:p>
        </w:tc>
        <w:tc>
          <w:tcPr>
            <w:tcW w:w="2101" w:type="dxa"/>
            <w:tcBorders>
              <w:top w:val="nil"/>
              <w:left w:val="nil"/>
              <w:bottom w:val="single" w:sz="4" w:space="0" w:color="auto"/>
              <w:right w:val="single" w:sz="4" w:space="0" w:color="auto"/>
            </w:tcBorders>
            <w:tcMar>
              <w:top w:w="15" w:type="dxa"/>
              <w:left w:w="15" w:type="dxa"/>
              <w:bottom w:w="0" w:type="dxa"/>
              <w:right w:w="15" w:type="dxa"/>
            </w:tcMar>
            <w:vAlign w:val="center"/>
          </w:tcPr>
          <w:p w14:paraId="059CCEF9" w14:textId="77777777" w:rsidR="00E22223" w:rsidRDefault="00000000">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起止时间</w:t>
            </w:r>
          </w:p>
        </w:tc>
        <w:tc>
          <w:tcPr>
            <w:tcW w:w="2435" w:type="dxa"/>
            <w:tcBorders>
              <w:top w:val="nil"/>
              <w:left w:val="nil"/>
              <w:bottom w:val="single" w:sz="4" w:space="0" w:color="auto"/>
              <w:right w:val="single" w:sz="8" w:space="0" w:color="auto"/>
            </w:tcBorders>
            <w:tcMar>
              <w:top w:w="15" w:type="dxa"/>
              <w:left w:w="15" w:type="dxa"/>
              <w:bottom w:w="0" w:type="dxa"/>
              <w:right w:w="15" w:type="dxa"/>
            </w:tcMar>
            <w:vAlign w:val="center"/>
          </w:tcPr>
          <w:p w14:paraId="6BBCE997" w14:textId="77777777" w:rsidR="00E22223" w:rsidRDefault="00000000">
            <w:pPr>
              <w:ind w:left="360" w:hangingChars="150" w:hanging="360"/>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2022年11月至2023年10月</w:t>
            </w:r>
          </w:p>
        </w:tc>
      </w:tr>
      <w:tr w:rsidR="00E22223" w14:paraId="39782AEB" w14:textId="77777777">
        <w:trPr>
          <w:trHeight w:val="705"/>
        </w:trPr>
        <w:tc>
          <w:tcPr>
            <w:tcW w:w="1550"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14:paraId="25CE8FC0" w14:textId="77777777" w:rsidR="00E22223" w:rsidRDefault="00000000">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项目所属     一级学科和代码</w:t>
            </w:r>
          </w:p>
        </w:tc>
        <w:tc>
          <w:tcPr>
            <w:tcW w:w="6687" w:type="dxa"/>
            <w:gridSpan w:val="4"/>
            <w:tcBorders>
              <w:top w:val="single" w:sz="4" w:space="0" w:color="auto"/>
              <w:left w:val="nil"/>
              <w:bottom w:val="single" w:sz="4" w:space="0" w:color="auto"/>
              <w:right w:val="single" w:sz="8" w:space="0" w:color="000000"/>
            </w:tcBorders>
            <w:tcMar>
              <w:top w:w="15" w:type="dxa"/>
              <w:left w:w="15" w:type="dxa"/>
              <w:bottom w:w="0" w:type="dxa"/>
              <w:right w:w="15" w:type="dxa"/>
            </w:tcMar>
            <w:vAlign w:val="center"/>
          </w:tcPr>
          <w:p w14:paraId="006D8F85" w14:textId="77777777" w:rsidR="00E22223" w:rsidRDefault="00000000">
            <w:pPr>
              <w:jc w:val="center"/>
              <w:rPr>
                <w:rFonts w:ascii="仿宋_GB2312" w:eastAsia="仿宋_GB2312" w:hAnsi="仿宋" w:cs="仿宋"/>
                <w:color w:val="000000" w:themeColor="text1"/>
                <w:sz w:val="24"/>
                <w:u w:val="single"/>
              </w:rPr>
            </w:pPr>
            <w:r>
              <w:rPr>
                <w:rFonts w:ascii="仿宋_GB2312" w:eastAsia="仿宋_GB2312" w:hAnsi="仿宋" w:cs="仿宋" w:hint="eastAsia"/>
                <w:color w:val="000000" w:themeColor="text1"/>
                <w:sz w:val="24"/>
                <w:u w:val="single"/>
              </w:rPr>
              <w:t>生物医学工程</w:t>
            </w:r>
          </w:p>
          <w:p w14:paraId="0627A1D5" w14:textId="77777777" w:rsidR="00E22223" w:rsidRDefault="00000000">
            <w:pPr>
              <w:jc w:val="center"/>
              <w:rPr>
                <w:rFonts w:ascii="仿宋_GB2312" w:eastAsia="仿宋_GB2312" w:hAnsi="仿宋" w:cs="仿宋"/>
                <w:color w:val="000000" w:themeColor="text1"/>
                <w:sz w:val="24"/>
                <w:u w:val="single"/>
              </w:rPr>
            </w:pPr>
            <w:r>
              <w:rPr>
                <w:rFonts w:ascii="仿宋_GB2312" w:eastAsia="仿宋_GB2312" w:hAnsi="仿宋" w:cs="仿宋" w:hint="eastAsia"/>
                <w:color w:val="000000" w:themeColor="text1"/>
                <w:sz w:val="24"/>
                <w:u w:val="single"/>
              </w:rPr>
              <w:t>0831</w:t>
            </w:r>
          </w:p>
        </w:tc>
      </w:tr>
      <w:tr w:rsidR="00E22223" w14:paraId="3409D531" w14:textId="77777777">
        <w:trPr>
          <w:trHeight w:val="632"/>
        </w:trPr>
        <w:tc>
          <w:tcPr>
            <w:tcW w:w="1550"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14:paraId="521343BB" w14:textId="77777777" w:rsidR="00E22223" w:rsidRDefault="00000000">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项目开展                支撑平台</w:t>
            </w:r>
          </w:p>
        </w:tc>
        <w:tc>
          <w:tcPr>
            <w:tcW w:w="6687" w:type="dxa"/>
            <w:gridSpan w:val="4"/>
            <w:tcBorders>
              <w:top w:val="single" w:sz="4" w:space="0" w:color="auto"/>
              <w:left w:val="nil"/>
              <w:bottom w:val="single" w:sz="4" w:space="0" w:color="auto"/>
              <w:right w:val="single" w:sz="8" w:space="0" w:color="000000"/>
            </w:tcBorders>
            <w:tcMar>
              <w:top w:w="15" w:type="dxa"/>
              <w:left w:w="15" w:type="dxa"/>
              <w:bottom w:w="0" w:type="dxa"/>
              <w:right w:w="15" w:type="dxa"/>
            </w:tcMar>
            <w:vAlign w:val="center"/>
          </w:tcPr>
          <w:p w14:paraId="481A4D07" w14:textId="77777777" w:rsidR="00E22223" w:rsidRDefault="00E22223">
            <w:pPr>
              <w:jc w:val="center"/>
              <w:rPr>
                <w:rFonts w:ascii="仿宋_GB2312" w:eastAsia="仿宋_GB2312" w:hAnsi="仿宋" w:cs="仿宋"/>
                <w:color w:val="000000" w:themeColor="text1"/>
                <w:sz w:val="24"/>
                <w:u w:val="single"/>
              </w:rPr>
            </w:pPr>
          </w:p>
        </w:tc>
      </w:tr>
      <w:tr w:rsidR="00E22223" w14:paraId="184EC9A9" w14:textId="77777777">
        <w:trPr>
          <w:trHeight w:val="632"/>
        </w:trPr>
        <w:tc>
          <w:tcPr>
            <w:tcW w:w="1550" w:type="dxa"/>
            <w:tcBorders>
              <w:top w:val="nil"/>
              <w:left w:val="single" w:sz="8" w:space="0" w:color="auto"/>
              <w:bottom w:val="single" w:sz="8" w:space="0" w:color="auto"/>
              <w:right w:val="single" w:sz="4" w:space="0" w:color="auto"/>
            </w:tcBorders>
            <w:tcMar>
              <w:top w:w="15" w:type="dxa"/>
              <w:left w:w="15" w:type="dxa"/>
              <w:bottom w:w="0" w:type="dxa"/>
              <w:right w:w="15" w:type="dxa"/>
            </w:tcMar>
            <w:vAlign w:val="center"/>
          </w:tcPr>
          <w:p w14:paraId="784495DC" w14:textId="77777777" w:rsidR="00E22223" w:rsidRDefault="00000000">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项目来源</w:t>
            </w:r>
          </w:p>
          <w:p w14:paraId="7A3609B0" w14:textId="77777777" w:rsidR="00E22223" w:rsidRDefault="00000000">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（可多选）</w:t>
            </w:r>
          </w:p>
        </w:tc>
        <w:tc>
          <w:tcPr>
            <w:tcW w:w="6687" w:type="dxa"/>
            <w:gridSpan w:val="4"/>
            <w:tcBorders>
              <w:top w:val="single" w:sz="8" w:space="0" w:color="auto"/>
              <w:left w:val="nil"/>
              <w:bottom w:val="single" w:sz="8" w:space="0" w:color="auto"/>
              <w:right w:val="single" w:sz="8" w:space="0" w:color="000000"/>
            </w:tcBorders>
            <w:tcMar>
              <w:top w:w="15" w:type="dxa"/>
              <w:left w:w="15" w:type="dxa"/>
              <w:bottom w:w="0" w:type="dxa"/>
              <w:right w:w="15" w:type="dxa"/>
            </w:tcMar>
            <w:vAlign w:val="center"/>
          </w:tcPr>
          <w:p w14:paraId="061E8D04" w14:textId="77777777" w:rsidR="00E22223" w:rsidRDefault="00000000">
            <w:pPr>
              <w:jc w:val="left"/>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√十大重点支持领域的项目</w:t>
            </w:r>
          </w:p>
          <w:p w14:paraId="5D149177" w14:textId="77777777" w:rsidR="00E22223" w:rsidRDefault="00000000">
            <w:pPr>
              <w:jc w:val="left"/>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√进课题组、进实验室、进科研团队参与的项目</w:t>
            </w:r>
          </w:p>
          <w:p w14:paraId="791D7937" w14:textId="77777777" w:rsidR="00E22223" w:rsidRDefault="00000000">
            <w:pPr>
              <w:jc w:val="left"/>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sym w:font="Wingdings 2" w:char="F0A3"/>
            </w:r>
            <w:r>
              <w:rPr>
                <w:rFonts w:ascii="仿宋_GB2312" w:eastAsia="仿宋_GB2312" w:hAnsi="仿宋" w:cs="仿宋" w:hint="eastAsia"/>
                <w:color w:val="000000" w:themeColor="text1"/>
                <w:sz w:val="24"/>
              </w:rPr>
              <w:t>国家级和省部级重点实验室（中心、平台等）、国家双创示范基地平台支持申报项目</w:t>
            </w:r>
          </w:p>
          <w:p w14:paraId="7AC01DE6" w14:textId="77777777" w:rsidR="00E22223" w:rsidRDefault="00000000">
            <w:pPr>
              <w:jc w:val="left"/>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sym w:font="Wingdings 2" w:char="F0A3"/>
            </w:r>
            <w:r>
              <w:rPr>
                <w:rFonts w:ascii="仿宋_GB2312" w:eastAsia="仿宋_GB2312" w:hAnsi="仿宋" w:cs="仿宋" w:hint="eastAsia"/>
                <w:color w:val="000000" w:themeColor="text1"/>
                <w:sz w:val="24"/>
              </w:rPr>
              <w:t>“2035特区子计划”命题的项目（2035特区子计划）</w:t>
            </w:r>
          </w:p>
          <w:p w14:paraId="3748088D" w14:textId="77777777" w:rsidR="00E22223" w:rsidRDefault="00000000">
            <w:pPr>
              <w:jc w:val="left"/>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sym w:font="Wingdings 2" w:char="F0A3"/>
            </w:r>
            <w:r>
              <w:rPr>
                <w:rFonts w:ascii="仿宋_GB2312" w:eastAsia="仿宋_GB2312" w:hAnsi="仿宋" w:cs="仿宋" w:hint="eastAsia"/>
                <w:color w:val="000000" w:themeColor="text1"/>
                <w:sz w:val="24"/>
              </w:rPr>
              <w:t>交叉学科创新项目</w:t>
            </w:r>
          </w:p>
          <w:p w14:paraId="617CD6C6" w14:textId="77777777" w:rsidR="00E22223" w:rsidRDefault="00000000">
            <w:pPr>
              <w:jc w:val="left"/>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sym w:font="Wingdings 2" w:char="F0A3"/>
            </w:r>
            <w:r>
              <w:rPr>
                <w:rFonts w:ascii="仿宋_GB2312" w:eastAsia="仿宋_GB2312" w:hAnsi="仿宋" w:cs="仿宋" w:hint="eastAsia"/>
                <w:color w:val="000000" w:themeColor="text1"/>
                <w:sz w:val="24"/>
              </w:rPr>
              <w:t>“青年红色筑梦之旅”计划项目</w:t>
            </w:r>
          </w:p>
          <w:p w14:paraId="0D4843B2" w14:textId="77777777" w:rsidR="00E22223" w:rsidRDefault="00000000">
            <w:pPr>
              <w:jc w:val="left"/>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sym w:font="Wingdings 2" w:char="F0A3"/>
            </w:r>
            <w:r>
              <w:rPr>
                <w:rFonts w:ascii="仿宋_GB2312" w:eastAsia="仿宋_GB2312" w:hAnsi="仿宋" w:cs="仿宋" w:hint="eastAsia"/>
                <w:color w:val="000000" w:themeColor="text1"/>
                <w:sz w:val="24"/>
              </w:rPr>
              <w:t>基于前期研究实践成果、继续深入研究实践的创新项目</w:t>
            </w:r>
          </w:p>
          <w:p w14:paraId="2859CE5F" w14:textId="77777777" w:rsidR="00E22223" w:rsidRDefault="00000000">
            <w:pPr>
              <w:jc w:val="left"/>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sym w:font="Wingdings 2" w:char="F0A3"/>
            </w:r>
            <w:r>
              <w:rPr>
                <w:rFonts w:ascii="仿宋_GB2312" w:eastAsia="仿宋_GB2312" w:hAnsi="仿宋" w:cs="仿宋" w:hint="eastAsia"/>
                <w:color w:val="000000" w:themeColor="text1"/>
                <w:sz w:val="24"/>
              </w:rPr>
              <w:t>其他</w:t>
            </w:r>
            <w:r>
              <w:rPr>
                <w:rFonts w:ascii="仿宋_GB2312" w:eastAsia="仿宋_GB2312" w:hAnsi="仿宋" w:cs="仿宋" w:hint="eastAsia"/>
                <w:color w:val="000000" w:themeColor="text1"/>
                <w:sz w:val="24"/>
                <w:u w:val="single"/>
              </w:rPr>
              <w:t xml:space="preserve">                </w:t>
            </w:r>
          </w:p>
        </w:tc>
      </w:tr>
      <w:tr w:rsidR="00E22223" w14:paraId="6535F654" w14:textId="77777777" w:rsidTr="002062AD">
        <w:trPr>
          <w:trHeight w:val="632"/>
        </w:trPr>
        <w:tc>
          <w:tcPr>
            <w:tcW w:w="1550" w:type="dxa"/>
            <w:vMerge w:val="restar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19B263F" w14:textId="77777777" w:rsidR="00E22223" w:rsidRDefault="00000000">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2035特区子计划项目情况（非2035特区子计划项目可不填）</w:t>
            </w:r>
          </w:p>
        </w:tc>
        <w:tc>
          <w:tcPr>
            <w:tcW w:w="198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8170E29" w14:textId="77777777" w:rsidR="00E22223" w:rsidRDefault="00000000">
            <w:pPr>
              <w:jc w:val="left"/>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命题名称</w:t>
            </w:r>
          </w:p>
        </w:tc>
        <w:tc>
          <w:tcPr>
            <w:tcW w:w="4703" w:type="dxa"/>
            <w:gridSpan w:val="3"/>
            <w:tcBorders>
              <w:top w:val="single" w:sz="8" w:space="0" w:color="auto"/>
              <w:left w:val="single" w:sz="8" w:space="0" w:color="auto"/>
              <w:bottom w:val="single" w:sz="8" w:space="0" w:color="auto"/>
              <w:right w:val="single" w:sz="8" w:space="0" w:color="000000"/>
            </w:tcBorders>
            <w:vAlign w:val="center"/>
          </w:tcPr>
          <w:p w14:paraId="07871B7B" w14:textId="77777777" w:rsidR="00E22223" w:rsidRDefault="00E22223">
            <w:pPr>
              <w:jc w:val="left"/>
              <w:rPr>
                <w:rFonts w:ascii="仿宋_GB2312" w:eastAsia="仿宋_GB2312" w:hAnsi="仿宋" w:cs="仿宋"/>
                <w:color w:val="000000" w:themeColor="text1"/>
                <w:sz w:val="24"/>
                <w:highlight w:val="yellow"/>
              </w:rPr>
            </w:pPr>
          </w:p>
        </w:tc>
      </w:tr>
      <w:tr w:rsidR="00E22223" w14:paraId="505FBCA1" w14:textId="77777777" w:rsidTr="002062AD">
        <w:trPr>
          <w:trHeight w:val="632"/>
        </w:trPr>
        <w:tc>
          <w:tcPr>
            <w:tcW w:w="1550" w:type="dxa"/>
            <w:vMerge/>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237DAA4" w14:textId="77777777" w:rsidR="00E22223" w:rsidRDefault="00E22223">
            <w:pPr>
              <w:jc w:val="center"/>
              <w:rPr>
                <w:rFonts w:ascii="仿宋_GB2312" w:eastAsia="仿宋_GB2312" w:hAnsi="仿宋" w:cs="仿宋"/>
                <w:color w:val="000000" w:themeColor="text1"/>
                <w:sz w:val="24"/>
              </w:rPr>
            </w:pPr>
          </w:p>
        </w:tc>
        <w:tc>
          <w:tcPr>
            <w:tcW w:w="198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3CBB586" w14:textId="77777777" w:rsidR="00E22223" w:rsidRDefault="00000000">
            <w:pPr>
              <w:jc w:val="left"/>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校内指导老师姓名</w:t>
            </w:r>
            <w:r>
              <w:rPr>
                <w:rFonts w:ascii="仿宋_GB2312" w:eastAsia="仿宋_GB2312" w:hAnsi="仿宋" w:cs="仿宋" w:hint="eastAsia"/>
                <w:color w:val="000000" w:themeColor="text1"/>
                <w:sz w:val="18"/>
                <w:szCs w:val="18"/>
              </w:rPr>
              <w:t>（非交叉学科子计划项目一般仅允许一位指导老师）</w:t>
            </w:r>
          </w:p>
        </w:tc>
        <w:tc>
          <w:tcPr>
            <w:tcW w:w="4703" w:type="dxa"/>
            <w:gridSpan w:val="3"/>
            <w:tcBorders>
              <w:top w:val="single" w:sz="8" w:space="0" w:color="auto"/>
              <w:left w:val="single" w:sz="8" w:space="0" w:color="auto"/>
              <w:bottom w:val="single" w:sz="8" w:space="0" w:color="auto"/>
              <w:right w:val="single" w:sz="8" w:space="0" w:color="000000"/>
            </w:tcBorders>
            <w:vAlign w:val="center"/>
          </w:tcPr>
          <w:p w14:paraId="08FF9765" w14:textId="77777777" w:rsidR="00E22223" w:rsidRDefault="00E22223">
            <w:pPr>
              <w:jc w:val="left"/>
              <w:rPr>
                <w:rFonts w:ascii="仿宋_GB2312" w:eastAsia="仿宋_GB2312" w:hAnsi="仿宋" w:cs="仿宋"/>
                <w:color w:val="000000" w:themeColor="text1"/>
                <w:sz w:val="24"/>
                <w:highlight w:val="yellow"/>
              </w:rPr>
            </w:pPr>
          </w:p>
        </w:tc>
      </w:tr>
      <w:tr w:rsidR="00E22223" w14:paraId="351FFEF9" w14:textId="77777777">
        <w:trPr>
          <w:trHeight w:val="632"/>
        </w:trPr>
        <w:tc>
          <w:tcPr>
            <w:tcW w:w="1550" w:type="dxa"/>
            <w:tcBorders>
              <w:top w:val="single" w:sz="8" w:space="0" w:color="auto"/>
              <w:left w:val="single" w:sz="8" w:space="0" w:color="auto"/>
              <w:bottom w:val="single" w:sz="4" w:space="0" w:color="auto"/>
              <w:right w:val="single" w:sz="4" w:space="0" w:color="auto"/>
            </w:tcBorders>
            <w:tcMar>
              <w:top w:w="15" w:type="dxa"/>
              <w:left w:w="15" w:type="dxa"/>
              <w:bottom w:w="0" w:type="dxa"/>
              <w:right w:w="15" w:type="dxa"/>
            </w:tcMar>
            <w:vAlign w:val="center"/>
          </w:tcPr>
          <w:p w14:paraId="03D45C83" w14:textId="77777777" w:rsidR="00E22223" w:rsidRDefault="00000000">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所属重点支持领域（可不选）</w:t>
            </w:r>
          </w:p>
        </w:tc>
        <w:tc>
          <w:tcPr>
            <w:tcW w:w="6687" w:type="dxa"/>
            <w:gridSpan w:val="4"/>
            <w:tcBorders>
              <w:top w:val="single" w:sz="8" w:space="0" w:color="auto"/>
              <w:left w:val="nil"/>
              <w:bottom w:val="single" w:sz="4" w:space="0" w:color="auto"/>
              <w:right w:val="single" w:sz="8" w:space="0" w:color="000000"/>
            </w:tcBorders>
            <w:tcMar>
              <w:top w:w="15" w:type="dxa"/>
              <w:left w:w="15" w:type="dxa"/>
              <w:bottom w:w="0" w:type="dxa"/>
              <w:right w:w="15" w:type="dxa"/>
            </w:tcMar>
            <w:vAlign w:val="center"/>
          </w:tcPr>
          <w:p w14:paraId="04EDAFE9" w14:textId="77777777" w:rsidR="00E22223" w:rsidRDefault="00000000">
            <w:pPr>
              <w:ind w:firstLineChars="50" w:firstLine="120"/>
              <w:jc w:val="left"/>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选择1项：E</w:t>
            </w:r>
          </w:p>
          <w:p w14:paraId="2D823877" w14:textId="77777777" w:rsidR="00E22223" w:rsidRDefault="00000000">
            <w:pPr>
              <w:ind w:firstLineChars="50" w:firstLine="120"/>
              <w:jc w:val="left"/>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A.不填</w:t>
            </w:r>
          </w:p>
          <w:p w14:paraId="77BCF742" w14:textId="77777777" w:rsidR="00E22223" w:rsidRDefault="00000000">
            <w:pPr>
              <w:ind w:firstLineChars="50" w:firstLine="120"/>
              <w:jc w:val="left"/>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B.泛终端芯片及操作系统应用开发</w:t>
            </w:r>
          </w:p>
          <w:p w14:paraId="27668A80" w14:textId="77777777" w:rsidR="00E22223" w:rsidRDefault="00000000">
            <w:pPr>
              <w:ind w:firstLineChars="50" w:firstLine="120"/>
              <w:jc w:val="left"/>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C.重大应用关键软件</w:t>
            </w:r>
          </w:p>
          <w:p w14:paraId="23DC1D27" w14:textId="77777777" w:rsidR="00E22223" w:rsidRDefault="00000000">
            <w:pPr>
              <w:ind w:firstLineChars="50" w:firstLine="120"/>
              <w:jc w:val="left"/>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D.云计算和大数据</w:t>
            </w:r>
          </w:p>
          <w:p w14:paraId="4E57340A" w14:textId="77777777" w:rsidR="00E22223" w:rsidRDefault="00000000">
            <w:pPr>
              <w:ind w:firstLineChars="50" w:firstLine="120"/>
              <w:jc w:val="left"/>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E.人工智能</w:t>
            </w:r>
          </w:p>
          <w:p w14:paraId="0274396E" w14:textId="77777777" w:rsidR="00E22223" w:rsidRDefault="00000000">
            <w:pPr>
              <w:ind w:firstLineChars="50" w:firstLine="120"/>
              <w:jc w:val="left"/>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F.无人驾驶</w:t>
            </w:r>
          </w:p>
          <w:p w14:paraId="3FCBE39D" w14:textId="77777777" w:rsidR="00E22223" w:rsidRDefault="00000000">
            <w:pPr>
              <w:ind w:firstLineChars="50" w:firstLine="120"/>
              <w:jc w:val="left"/>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G.新能源与储能技术</w:t>
            </w:r>
          </w:p>
          <w:p w14:paraId="0BE7CFCA" w14:textId="77777777" w:rsidR="00E22223" w:rsidRDefault="00000000">
            <w:pPr>
              <w:ind w:firstLineChars="50" w:firstLine="120"/>
              <w:jc w:val="left"/>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H.生物技术与生物育种</w:t>
            </w:r>
          </w:p>
          <w:p w14:paraId="571B2304" w14:textId="77777777" w:rsidR="00E22223" w:rsidRDefault="00000000">
            <w:pPr>
              <w:ind w:firstLineChars="50" w:firstLine="120"/>
              <w:jc w:val="left"/>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I.绿色环保与固废资源化</w:t>
            </w:r>
          </w:p>
          <w:p w14:paraId="471B37DB" w14:textId="77777777" w:rsidR="00E22223" w:rsidRDefault="00000000">
            <w:pPr>
              <w:ind w:firstLineChars="50" w:firstLine="120"/>
              <w:jc w:val="left"/>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J.第五代通信技术和新一代IP网络通信技术</w:t>
            </w:r>
          </w:p>
          <w:p w14:paraId="7A3A9982" w14:textId="77777777" w:rsidR="00E22223" w:rsidRDefault="00000000">
            <w:pPr>
              <w:ind w:firstLineChars="50" w:firstLine="120"/>
              <w:jc w:val="left"/>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K.社会事业与文化传承</w:t>
            </w:r>
          </w:p>
        </w:tc>
      </w:tr>
      <w:tr w:rsidR="00E22223" w14:paraId="791295EE" w14:textId="77777777">
        <w:trPr>
          <w:trHeight w:val="632"/>
        </w:trPr>
        <w:tc>
          <w:tcPr>
            <w:tcW w:w="1550"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14:paraId="27855BEB" w14:textId="77777777" w:rsidR="00E22223" w:rsidRDefault="00000000">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负责人之前参与大创项目情</w:t>
            </w:r>
            <w:r>
              <w:rPr>
                <w:rFonts w:ascii="仿宋_GB2312" w:eastAsia="仿宋_GB2312" w:hAnsi="仿宋" w:cs="仿宋" w:hint="eastAsia"/>
                <w:color w:val="000000" w:themeColor="text1"/>
                <w:sz w:val="24"/>
              </w:rPr>
              <w:lastRenderedPageBreak/>
              <w:t>况</w:t>
            </w:r>
          </w:p>
        </w:tc>
        <w:tc>
          <w:tcPr>
            <w:tcW w:w="6687" w:type="dxa"/>
            <w:gridSpan w:val="4"/>
            <w:tcBorders>
              <w:top w:val="single" w:sz="8" w:space="0" w:color="auto"/>
              <w:left w:val="nil"/>
              <w:bottom w:val="single" w:sz="4" w:space="0" w:color="auto"/>
              <w:right w:val="single" w:sz="8" w:space="0" w:color="000000"/>
            </w:tcBorders>
            <w:tcMar>
              <w:top w:w="15" w:type="dxa"/>
              <w:left w:w="15" w:type="dxa"/>
              <w:bottom w:w="0" w:type="dxa"/>
              <w:right w:w="15" w:type="dxa"/>
            </w:tcMar>
            <w:vAlign w:val="center"/>
          </w:tcPr>
          <w:p w14:paraId="42240875" w14:textId="77777777" w:rsidR="00E22223" w:rsidRDefault="00000000">
            <w:pPr>
              <w:spacing w:line="300" w:lineRule="exact"/>
              <w:jc w:val="left"/>
              <w:rPr>
                <w:rFonts w:ascii="仿宋_GB2312" w:eastAsia="仿宋_GB2312"/>
                <w:color w:val="000000"/>
                <w:sz w:val="24"/>
              </w:rPr>
            </w:pPr>
            <w:r>
              <w:rPr>
                <w:rFonts w:ascii="仿宋_GB2312" w:eastAsia="仿宋_GB2312" w:hint="eastAsia"/>
                <w:color w:val="000000"/>
                <w:sz w:val="24"/>
              </w:rPr>
              <w:lastRenderedPageBreak/>
              <w:t>1.张艺千/马书晗，冷欣悦，梁秋莹，向宏，202110610548，抗病毒药物BCX4430的绿色合成研究，省级，创新训练，2021，</w:t>
            </w:r>
            <w:r>
              <w:rPr>
                <w:rFonts w:ascii="仿宋_GB2312" w:eastAsia="仿宋_GB2312" w:hint="eastAsia"/>
                <w:color w:val="000000"/>
                <w:sz w:val="24"/>
              </w:rPr>
              <w:lastRenderedPageBreak/>
              <w:t>合格</w:t>
            </w:r>
          </w:p>
          <w:p w14:paraId="7B655248" w14:textId="77777777" w:rsidR="00E22223" w:rsidRDefault="00000000">
            <w:pPr>
              <w:spacing w:line="300" w:lineRule="exact"/>
              <w:jc w:val="left"/>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2.侯垚/杨帆，马书晗，魏晓玉，耿旭晴，</w:t>
            </w:r>
            <w:r>
              <w:rPr>
                <w:rFonts w:ascii="仿宋_GB2312" w:eastAsia="仿宋_GB2312" w:hAnsi="仿宋" w:cs="仿宋"/>
                <w:color w:val="000000" w:themeColor="text1"/>
                <w:sz w:val="24"/>
              </w:rPr>
              <w:t>C2022120006</w:t>
            </w:r>
            <w:r>
              <w:rPr>
                <w:rFonts w:ascii="仿宋_GB2312" w:eastAsia="仿宋_GB2312" w:hAnsi="仿宋" w:cs="仿宋" w:hint="eastAsia"/>
                <w:color w:val="000000" w:themeColor="text1"/>
                <w:sz w:val="24"/>
              </w:rPr>
              <w:t>，基于Unity</w:t>
            </w:r>
            <w:r>
              <w:rPr>
                <w:rFonts w:ascii="仿宋_GB2312" w:eastAsia="仿宋_GB2312" w:hAnsi="仿宋" w:cs="仿宋"/>
                <w:color w:val="000000" w:themeColor="text1"/>
                <w:sz w:val="24"/>
              </w:rPr>
              <w:t xml:space="preserve"> 3D</w:t>
            </w:r>
            <w:r>
              <w:rPr>
                <w:rFonts w:ascii="仿宋_GB2312" w:eastAsia="仿宋_GB2312" w:hAnsi="仿宋" w:cs="仿宋" w:hint="eastAsia"/>
                <w:color w:val="000000" w:themeColor="text1"/>
                <w:sz w:val="24"/>
              </w:rPr>
              <w:t xml:space="preserve"> 的软体组织变形仿真探索，省级，创新训练，2022，良好</w:t>
            </w:r>
          </w:p>
        </w:tc>
      </w:tr>
      <w:tr w:rsidR="00E22223" w14:paraId="148B7587" w14:textId="77777777">
        <w:trPr>
          <w:trHeight w:val="632"/>
        </w:trPr>
        <w:tc>
          <w:tcPr>
            <w:tcW w:w="1550"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14:paraId="590EBC60" w14:textId="77777777" w:rsidR="00E22223" w:rsidRDefault="00000000">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lastRenderedPageBreak/>
              <w:t>项目成员之前参与大创项目情况</w:t>
            </w:r>
          </w:p>
        </w:tc>
        <w:tc>
          <w:tcPr>
            <w:tcW w:w="6687" w:type="dxa"/>
            <w:gridSpan w:val="4"/>
            <w:tcBorders>
              <w:top w:val="single" w:sz="8" w:space="0" w:color="auto"/>
              <w:left w:val="nil"/>
              <w:bottom w:val="single" w:sz="4" w:space="0" w:color="auto"/>
              <w:right w:val="single" w:sz="8" w:space="0" w:color="000000"/>
            </w:tcBorders>
            <w:tcMar>
              <w:top w:w="15" w:type="dxa"/>
              <w:left w:w="15" w:type="dxa"/>
              <w:bottom w:w="0" w:type="dxa"/>
              <w:right w:w="15" w:type="dxa"/>
            </w:tcMar>
            <w:vAlign w:val="center"/>
          </w:tcPr>
          <w:p w14:paraId="255DA4E4" w14:textId="77777777" w:rsidR="00E22223" w:rsidRDefault="00000000">
            <w:pPr>
              <w:spacing w:line="300" w:lineRule="exact"/>
              <w:jc w:val="left"/>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1.</w:t>
            </w:r>
            <w:r>
              <w:rPr>
                <w:rFonts w:ascii="仿宋_GB2312" w:eastAsia="仿宋_GB2312" w:hAnsi="仿宋_GB2312" w:cs="仿宋_GB2312" w:hint="eastAsia"/>
                <w:color w:val="000000" w:themeColor="text1"/>
                <w:sz w:val="24"/>
              </w:rPr>
              <w:t>李嘉钰，</w:t>
            </w:r>
            <w:r>
              <w:rPr>
                <w:rFonts w:ascii="仿宋_GB2312" w:eastAsia="仿宋_GB2312" w:hAnsi="仿宋" w:cs="仿宋" w:hint="eastAsia"/>
                <w:color w:val="000000" w:themeColor="text1"/>
                <w:sz w:val="24"/>
              </w:rPr>
              <w:t>蔡洁/曹</w:t>
            </w:r>
            <w:r>
              <w:rPr>
                <w:rFonts w:ascii="微软雅黑" w:eastAsia="微软雅黑" w:hAnsi="微软雅黑" w:cs="微软雅黑" w:hint="eastAsia"/>
                <w:color w:val="000000" w:themeColor="text1"/>
                <w:sz w:val="24"/>
              </w:rPr>
              <w:t>彧</w:t>
            </w:r>
            <w:r>
              <w:rPr>
                <w:rFonts w:ascii="仿宋_GB2312" w:eastAsia="仿宋_GB2312" w:hAnsi="仿宋_GB2312" w:cs="仿宋_GB2312" w:hint="eastAsia"/>
                <w:color w:val="000000" w:themeColor="text1"/>
                <w:sz w:val="24"/>
              </w:rPr>
              <w:t>恒，郁禾，李嘉钰，李冬昊，</w:t>
            </w:r>
            <w:r>
              <w:rPr>
                <w:rFonts w:ascii="仿宋_GB2312" w:eastAsia="仿宋_GB2312" w:hAnsi="仿宋" w:cs="仿宋" w:hint="eastAsia"/>
                <w:color w:val="000000" w:themeColor="text1"/>
                <w:sz w:val="24"/>
              </w:rPr>
              <w:t>C2022121776，运动损伤管理与智能平台初步探索及构建，校级，创新训练，2022，合格</w:t>
            </w:r>
          </w:p>
        </w:tc>
      </w:tr>
      <w:tr w:rsidR="00E22223" w14:paraId="3EBAAB6A" w14:textId="77777777">
        <w:trPr>
          <w:trHeight w:val="462"/>
        </w:trPr>
        <w:tc>
          <w:tcPr>
            <w:tcW w:w="8237" w:type="dxa"/>
            <w:gridSpan w:val="5"/>
            <w:tcBorders>
              <w:top w:val="single" w:sz="4" w:space="0" w:color="auto"/>
              <w:left w:val="single" w:sz="4" w:space="0" w:color="auto"/>
              <w:bottom w:val="single" w:sz="6" w:space="0" w:color="auto"/>
              <w:right w:val="single" w:sz="4" w:space="0" w:color="auto"/>
            </w:tcBorders>
            <w:tcMar>
              <w:top w:w="15" w:type="dxa"/>
              <w:left w:w="15" w:type="dxa"/>
              <w:bottom w:w="0" w:type="dxa"/>
              <w:right w:w="15" w:type="dxa"/>
            </w:tcMar>
            <w:vAlign w:val="center"/>
          </w:tcPr>
          <w:p w14:paraId="45288672" w14:textId="77777777" w:rsidR="00E22223" w:rsidRDefault="00000000">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项目负责人基本信息</w:t>
            </w:r>
          </w:p>
        </w:tc>
      </w:tr>
      <w:tr w:rsidR="00E22223" w14:paraId="5248AB7F" w14:textId="77777777" w:rsidTr="002062AD">
        <w:trPr>
          <w:trHeight w:val="401"/>
        </w:trPr>
        <w:tc>
          <w:tcPr>
            <w:tcW w:w="1550" w:type="dxa"/>
            <w:tcBorders>
              <w:top w:val="single" w:sz="6" w:space="0" w:color="auto"/>
              <w:left w:val="single" w:sz="4" w:space="0" w:color="auto"/>
              <w:bottom w:val="single" w:sz="6" w:space="0" w:color="auto"/>
              <w:right w:val="single" w:sz="6" w:space="0" w:color="auto"/>
            </w:tcBorders>
            <w:tcMar>
              <w:top w:w="15" w:type="dxa"/>
              <w:left w:w="15" w:type="dxa"/>
              <w:bottom w:w="0" w:type="dxa"/>
              <w:right w:w="15" w:type="dxa"/>
            </w:tcMar>
            <w:vAlign w:val="center"/>
          </w:tcPr>
          <w:p w14:paraId="1A4EDFD8" w14:textId="77777777" w:rsidR="00E22223" w:rsidRDefault="00000000">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姓名</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5EEE2F3E" w14:textId="77777777" w:rsidR="00E22223" w:rsidRDefault="00000000">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学号</w:t>
            </w:r>
          </w:p>
        </w:tc>
        <w:tc>
          <w:tcPr>
            <w:tcW w:w="2268" w:type="dxa"/>
            <w:gridSpan w:val="2"/>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72974C31" w14:textId="77777777" w:rsidR="00E22223" w:rsidRDefault="00000000">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专业年级</w:t>
            </w:r>
          </w:p>
        </w:tc>
        <w:tc>
          <w:tcPr>
            <w:tcW w:w="2435" w:type="dxa"/>
            <w:tcBorders>
              <w:top w:val="single" w:sz="6" w:space="0" w:color="auto"/>
              <w:left w:val="single" w:sz="6" w:space="0" w:color="auto"/>
              <w:bottom w:val="single" w:sz="6" w:space="0" w:color="auto"/>
              <w:right w:val="single" w:sz="4" w:space="0" w:color="auto"/>
            </w:tcBorders>
            <w:noWrap/>
            <w:tcMar>
              <w:top w:w="15" w:type="dxa"/>
              <w:left w:w="15" w:type="dxa"/>
              <w:bottom w:w="0" w:type="dxa"/>
              <w:right w:w="15" w:type="dxa"/>
            </w:tcMar>
            <w:vAlign w:val="center"/>
          </w:tcPr>
          <w:p w14:paraId="3152D881" w14:textId="77777777" w:rsidR="00E22223" w:rsidRDefault="00000000">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所在学院</w:t>
            </w:r>
          </w:p>
        </w:tc>
      </w:tr>
      <w:tr w:rsidR="00E22223" w14:paraId="00F333A9" w14:textId="77777777" w:rsidTr="002062AD">
        <w:trPr>
          <w:trHeight w:val="510"/>
        </w:trPr>
        <w:tc>
          <w:tcPr>
            <w:tcW w:w="1550" w:type="dxa"/>
            <w:tcBorders>
              <w:top w:val="single" w:sz="6" w:space="0" w:color="auto"/>
              <w:left w:val="single" w:sz="4" w:space="0" w:color="auto"/>
              <w:bottom w:val="single" w:sz="6" w:space="0" w:color="auto"/>
              <w:right w:val="single" w:sz="6" w:space="0" w:color="auto"/>
            </w:tcBorders>
            <w:tcMar>
              <w:top w:w="15" w:type="dxa"/>
              <w:left w:w="15" w:type="dxa"/>
              <w:bottom w:w="0" w:type="dxa"/>
              <w:right w:w="15" w:type="dxa"/>
            </w:tcMar>
            <w:vAlign w:val="center"/>
          </w:tcPr>
          <w:p w14:paraId="48E810C9" w14:textId="77777777" w:rsidR="00E22223" w:rsidRDefault="00000000">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马书晗</w:t>
            </w:r>
          </w:p>
        </w:tc>
        <w:tc>
          <w:tcPr>
            <w:tcW w:w="1984"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9D8CD35" w14:textId="77777777" w:rsidR="00E22223" w:rsidRDefault="00000000">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2019141660106</w:t>
            </w:r>
          </w:p>
        </w:tc>
        <w:tc>
          <w:tcPr>
            <w:tcW w:w="2268"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D452A17" w14:textId="77777777" w:rsidR="00E22223" w:rsidRDefault="00000000">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2020级</w:t>
            </w:r>
          </w:p>
        </w:tc>
        <w:tc>
          <w:tcPr>
            <w:tcW w:w="2435" w:type="dxa"/>
            <w:tcBorders>
              <w:top w:val="single" w:sz="6" w:space="0" w:color="auto"/>
              <w:left w:val="single" w:sz="6" w:space="0" w:color="auto"/>
              <w:bottom w:val="single" w:sz="6" w:space="0" w:color="auto"/>
              <w:right w:val="single" w:sz="4" w:space="0" w:color="auto"/>
            </w:tcBorders>
            <w:noWrap/>
            <w:tcMar>
              <w:top w:w="15" w:type="dxa"/>
              <w:left w:w="15" w:type="dxa"/>
              <w:bottom w:w="0" w:type="dxa"/>
              <w:right w:w="15" w:type="dxa"/>
            </w:tcMar>
            <w:vAlign w:val="center"/>
          </w:tcPr>
          <w:p w14:paraId="416CAB44" w14:textId="77777777" w:rsidR="00E22223" w:rsidRDefault="00000000">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生物医学工程学院</w:t>
            </w:r>
          </w:p>
        </w:tc>
      </w:tr>
      <w:tr w:rsidR="00E22223" w14:paraId="259F9515" w14:textId="77777777" w:rsidTr="002062AD">
        <w:trPr>
          <w:trHeight w:val="287"/>
        </w:trPr>
        <w:tc>
          <w:tcPr>
            <w:tcW w:w="1550" w:type="dxa"/>
            <w:tcBorders>
              <w:top w:val="single" w:sz="6" w:space="0" w:color="auto"/>
              <w:left w:val="single" w:sz="4" w:space="0" w:color="auto"/>
              <w:bottom w:val="single" w:sz="6" w:space="0" w:color="auto"/>
              <w:right w:val="single" w:sz="6" w:space="0" w:color="auto"/>
            </w:tcBorders>
            <w:tcMar>
              <w:top w:w="15" w:type="dxa"/>
              <w:left w:w="15" w:type="dxa"/>
              <w:bottom w:w="0" w:type="dxa"/>
              <w:right w:w="15" w:type="dxa"/>
            </w:tcMar>
            <w:vAlign w:val="center"/>
          </w:tcPr>
          <w:p w14:paraId="0D1199B6" w14:textId="77777777" w:rsidR="00E22223" w:rsidRDefault="00000000">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性别</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7742A140" w14:textId="77777777" w:rsidR="00E22223" w:rsidRDefault="00000000">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手机</w:t>
            </w:r>
          </w:p>
        </w:tc>
        <w:tc>
          <w:tcPr>
            <w:tcW w:w="2268"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230FA30" w14:textId="77777777" w:rsidR="00E22223" w:rsidRDefault="00000000">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电子邮箱</w:t>
            </w:r>
          </w:p>
        </w:tc>
        <w:tc>
          <w:tcPr>
            <w:tcW w:w="2435" w:type="dxa"/>
            <w:tcBorders>
              <w:top w:val="single" w:sz="6" w:space="0" w:color="auto"/>
              <w:left w:val="single" w:sz="6" w:space="0" w:color="auto"/>
              <w:bottom w:val="single" w:sz="6" w:space="0" w:color="auto"/>
              <w:right w:val="single" w:sz="4" w:space="0" w:color="auto"/>
            </w:tcBorders>
            <w:noWrap/>
            <w:tcMar>
              <w:top w:w="15" w:type="dxa"/>
              <w:left w:w="15" w:type="dxa"/>
              <w:bottom w:w="0" w:type="dxa"/>
              <w:right w:w="15" w:type="dxa"/>
            </w:tcMar>
            <w:vAlign w:val="center"/>
          </w:tcPr>
          <w:p w14:paraId="3BFAF541" w14:textId="77777777" w:rsidR="00E22223" w:rsidRDefault="00000000">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身份证号</w:t>
            </w:r>
          </w:p>
        </w:tc>
      </w:tr>
      <w:tr w:rsidR="00E22223" w14:paraId="3EEF859B" w14:textId="77777777" w:rsidTr="002062AD">
        <w:trPr>
          <w:trHeight w:val="510"/>
        </w:trPr>
        <w:tc>
          <w:tcPr>
            <w:tcW w:w="1550" w:type="dxa"/>
            <w:tcBorders>
              <w:top w:val="single" w:sz="6" w:space="0" w:color="auto"/>
              <w:left w:val="single" w:sz="4" w:space="0" w:color="auto"/>
              <w:bottom w:val="single" w:sz="4" w:space="0" w:color="auto"/>
              <w:right w:val="single" w:sz="6" w:space="0" w:color="auto"/>
            </w:tcBorders>
            <w:tcMar>
              <w:top w:w="15" w:type="dxa"/>
              <w:left w:w="15" w:type="dxa"/>
              <w:bottom w:w="0" w:type="dxa"/>
              <w:right w:w="15" w:type="dxa"/>
            </w:tcMar>
            <w:vAlign w:val="center"/>
          </w:tcPr>
          <w:p w14:paraId="762711A1" w14:textId="77777777" w:rsidR="00E22223" w:rsidRDefault="00000000">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女</w:t>
            </w:r>
          </w:p>
        </w:tc>
        <w:tc>
          <w:tcPr>
            <w:tcW w:w="1984" w:type="dxa"/>
            <w:tcBorders>
              <w:top w:val="single" w:sz="6" w:space="0" w:color="auto"/>
              <w:left w:val="single" w:sz="6" w:space="0" w:color="auto"/>
              <w:bottom w:val="single" w:sz="4" w:space="0" w:color="auto"/>
              <w:right w:val="single" w:sz="6" w:space="0" w:color="auto"/>
            </w:tcBorders>
            <w:noWrap/>
            <w:tcMar>
              <w:top w:w="15" w:type="dxa"/>
              <w:left w:w="15" w:type="dxa"/>
              <w:bottom w:w="0" w:type="dxa"/>
              <w:right w:w="15" w:type="dxa"/>
            </w:tcMar>
            <w:vAlign w:val="center"/>
          </w:tcPr>
          <w:p w14:paraId="53DC46DF" w14:textId="77777777" w:rsidR="00E22223" w:rsidRDefault="00000000">
            <w:pPr>
              <w:jc w:val="center"/>
              <w:rPr>
                <w:rFonts w:ascii="仿宋_GB2312" w:eastAsia="仿宋_GB2312" w:hAnsi="仿宋" w:cs="仿宋"/>
                <w:color w:val="000000" w:themeColor="text1"/>
                <w:sz w:val="24"/>
              </w:rPr>
            </w:pPr>
            <w:r w:rsidRPr="002062AD">
              <w:rPr>
                <w:rFonts w:ascii="仿宋_GB2312" w:eastAsia="仿宋_GB2312" w:hAnsi="仿宋" w:cs="仿宋" w:hint="eastAsia"/>
                <w:color w:val="000000" w:themeColor="text1"/>
                <w:sz w:val="20"/>
                <w:szCs w:val="20"/>
              </w:rPr>
              <w:t>13891579783</w:t>
            </w:r>
          </w:p>
        </w:tc>
        <w:tc>
          <w:tcPr>
            <w:tcW w:w="2268" w:type="dxa"/>
            <w:gridSpan w:val="2"/>
            <w:tcBorders>
              <w:top w:val="single" w:sz="6" w:space="0" w:color="auto"/>
              <w:left w:val="single" w:sz="6" w:space="0" w:color="auto"/>
              <w:bottom w:val="single" w:sz="4" w:space="0" w:color="auto"/>
              <w:right w:val="single" w:sz="6" w:space="0" w:color="auto"/>
            </w:tcBorders>
            <w:noWrap/>
            <w:tcMar>
              <w:top w:w="15" w:type="dxa"/>
              <w:left w:w="15" w:type="dxa"/>
              <w:bottom w:w="0" w:type="dxa"/>
              <w:right w:w="15" w:type="dxa"/>
            </w:tcMar>
            <w:vAlign w:val="center"/>
          </w:tcPr>
          <w:p w14:paraId="4497BCBE" w14:textId="77777777" w:rsidR="00E22223" w:rsidRPr="002062AD" w:rsidRDefault="00000000">
            <w:pPr>
              <w:jc w:val="center"/>
              <w:rPr>
                <w:rFonts w:ascii="仿宋_GB2312" w:eastAsia="仿宋_GB2312" w:hAnsi="仿宋" w:cs="仿宋"/>
                <w:color w:val="000000" w:themeColor="text1"/>
                <w:sz w:val="13"/>
                <w:szCs w:val="13"/>
              </w:rPr>
            </w:pPr>
            <w:r w:rsidRPr="002062AD">
              <w:rPr>
                <w:rFonts w:ascii="仿宋_GB2312" w:eastAsia="仿宋_GB2312" w:hAnsi="仿宋" w:cs="仿宋"/>
                <w:color w:val="000000" w:themeColor="text1"/>
                <w:sz w:val="20"/>
                <w:szCs w:val="20"/>
              </w:rPr>
              <w:t>shuhan_pp@outlook.com</w:t>
            </w:r>
          </w:p>
        </w:tc>
        <w:tc>
          <w:tcPr>
            <w:tcW w:w="2435" w:type="dxa"/>
            <w:tcBorders>
              <w:top w:val="single" w:sz="6" w:space="0" w:color="auto"/>
              <w:left w:val="single" w:sz="6" w:space="0" w:color="auto"/>
              <w:bottom w:val="single" w:sz="4" w:space="0" w:color="auto"/>
              <w:right w:val="single" w:sz="4" w:space="0" w:color="auto"/>
            </w:tcBorders>
            <w:noWrap/>
            <w:tcMar>
              <w:top w:w="15" w:type="dxa"/>
              <w:left w:w="15" w:type="dxa"/>
              <w:bottom w:w="0" w:type="dxa"/>
              <w:right w:w="15" w:type="dxa"/>
            </w:tcMar>
            <w:vAlign w:val="center"/>
          </w:tcPr>
          <w:p w14:paraId="0C3095CD" w14:textId="77777777" w:rsidR="00E22223" w:rsidRDefault="00000000">
            <w:pPr>
              <w:jc w:val="center"/>
              <w:rPr>
                <w:rFonts w:ascii="仿宋_GB2312" w:eastAsia="仿宋_GB2312" w:hAnsi="仿宋" w:cs="仿宋"/>
                <w:color w:val="000000" w:themeColor="text1"/>
                <w:sz w:val="24"/>
              </w:rPr>
            </w:pPr>
            <w:r w:rsidRPr="002062AD">
              <w:rPr>
                <w:rFonts w:ascii="仿宋_GB2312" w:eastAsia="仿宋_GB2312" w:hAnsi="仿宋" w:cs="仿宋" w:hint="eastAsia"/>
                <w:color w:val="000000" w:themeColor="text1"/>
                <w:sz w:val="20"/>
                <w:szCs w:val="20"/>
              </w:rPr>
              <w:t>61240120010820038</w:t>
            </w:r>
            <w:r w:rsidRPr="002062AD">
              <w:rPr>
                <w:rFonts w:ascii="仿宋_GB2312" w:eastAsia="仿宋_GB2312" w:hAnsi="仿宋" w:cs="仿宋"/>
                <w:color w:val="000000" w:themeColor="text1"/>
                <w:sz w:val="20"/>
                <w:szCs w:val="20"/>
              </w:rPr>
              <w:t>X</w:t>
            </w:r>
          </w:p>
        </w:tc>
      </w:tr>
      <w:tr w:rsidR="00E22223" w14:paraId="4C521562" w14:textId="77777777">
        <w:trPr>
          <w:trHeight w:val="390"/>
        </w:trPr>
        <w:tc>
          <w:tcPr>
            <w:tcW w:w="8237" w:type="dxa"/>
            <w:gridSpan w:val="5"/>
            <w:tcBorders>
              <w:top w:val="single" w:sz="4" w:space="0" w:color="auto"/>
              <w:left w:val="single" w:sz="8" w:space="0" w:color="auto"/>
              <w:bottom w:val="single" w:sz="4" w:space="0" w:color="auto"/>
              <w:right w:val="single" w:sz="8" w:space="0" w:color="000000"/>
            </w:tcBorders>
            <w:tcMar>
              <w:top w:w="15" w:type="dxa"/>
              <w:left w:w="15" w:type="dxa"/>
              <w:bottom w:w="0" w:type="dxa"/>
              <w:right w:w="15" w:type="dxa"/>
            </w:tcMar>
            <w:vAlign w:val="center"/>
          </w:tcPr>
          <w:p w14:paraId="05E564A1" w14:textId="77777777" w:rsidR="00E22223" w:rsidRDefault="00000000">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项目组成员基本信息</w:t>
            </w:r>
          </w:p>
        </w:tc>
      </w:tr>
      <w:tr w:rsidR="002062AD" w14:paraId="3B8A7910" w14:textId="77777777" w:rsidTr="002062AD">
        <w:trPr>
          <w:trHeight w:val="510"/>
        </w:trPr>
        <w:tc>
          <w:tcPr>
            <w:tcW w:w="1550"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14:paraId="040B207B" w14:textId="77777777" w:rsidR="002062AD" w:rsidRDefault="002062AD">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序号（含排序）</w:t>
            </w:r>
          </w:p>
        </w:tc>
        <w:tc>
          <w:tcPr>
            <w:tcW w:w="1984" w:type="dxa"/>
            <w:tcBorders>
              <w:top w:val="nil"/>
              <w:left w:val="nil"/>
              <w:bottom w:val="single" w:sz="4" w:space="0" w:color="auto"/>
              <w:right w:val="single" w:sz="4" w:space="0" w:color="auto"/>
            </w:tcBorders>
            <w:tcMar>
              <w:top w:w="15" w:type="dxa"/>
              <w:left w:w="15" w:type="dxa"/>
              <w:bottom w:w="0" w:type="dxa"/>
              <w:right w:w="15" w:type="dxa"/>
            </w:tcMar>
            <w:vAlign w:val="center"/>
          </w:tcPr>
          <w:p w14:paraId="39E9B3EC" w14:textId="77777777" w:rsidR="002062AD" w:rsidRDefault="002062AD">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1</w:t>
            </w:r>
          </w:p>
        </w:tc>
        <w:tc>
          <w:tcPr>
            <w:tcW w:w="2268" w:type="dxa"/>
            <w:gridSpan w:val="2"/>
            <w:tcBorders>
              <w:top w:val="nil"/>
              <w:left w:val="nil"/>
              <w:bottom w:val="single" w:sz="4" w:space="0" w:color="auto"/>
              <w:right w:val="single" w:sz="4" w:space="0" w:color="auto"/>
            </w:tcBorders>
            <w:tcMar>
              <w:top w:w="15" w:type="dxa"/>
              <w:left w:w="15" w:type="dxa"/>
              <w:bottom w:w="0" w:type="dxa"/>
              <w:right w:w="15" w:type="dxa"/>
            </w:tcMar>
            <w:vAlign w:val="center"/>
          </w:tcPr>
          <w:p w14:paraId="55A84923" w14:textId="77777777" w:rsidR="002062AD" w:rsidRDefault="002062AD">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2</w:t>
            </w:r>
          </w:p>
        </w:tc>
        <w:tc>
          <w:tcPr>
            <w:tcW w:w="2435" w:type="dxa"/>
            <w:tcBorders>
              <w:top w:val="nil"/>
              <w:left w:val="nil"/>
              <w:bottom w:val="single" w:sz="4" w:space="0" w:color="auto"/>
              <w:right w:val="single" w:sz="8" w:space="0" w:color="auto"/>
            </w:tcBorders>
            <w:tcMar>
              <w:top w:w="15" w:type="dxa"/>
              <w:left w:w="15" w:type="dxa"/>
              <w:bottom w:w="0" w:type="dxa"/>
              <w:right w:w="15" w:type="dxa"/>
            </w:tcMar>
            <w:vAlign w:val="center"/>
          </w:tcPr>
          <w:p w14:paraId="189587E1" w14:textId="4C128266" w:rsidR="002062AD" w:rsidRDefault="002062AD" w:rsidP="002062AD">
            <w:pPr>
              <w:jc w:val="center"/>
              <w:rPr>
                <w:rFonts w:ascii="仿宋_GB2312" w:eastAsia="仿宋_GB2312" w:hAnsi="仿宋" w:cs="仿宋" w:hint="eastAsia"/>
                <w:color w:val="000000" w:themeColor="text1"/>
                <w:sz w:val="24"/>
              </w:rPr>
            </w:pPr>
            <w:r>
              <w:rPr>
                <w:rFonts w:ascii="仿宋_GB2312" w:eastAsia="仿宋_GB2312" w:hAnsi="仿宋" w:cs="仿宋" w:hint="eastAsia"/>
                <w:color w:val="000000" w:themeColor="text1"/>
                <w:sz w:val="24"/>
              </w:rPr>
              <w:t>3</w:t>
            </w:r>
          </w:p>
        </w:tc>
      </w:tr>
      <w:tr w:rsidR="002062AD" w14:paraId="5C999D6A" w14:textId="77777777" w:rsidTr="002062AD">
        <w:trPr>
          <w:trHeight w:val="510"/>
        </w:trPr>
        <w:tc>
          <w:tcPr>
            <w:tcW w:w="1550"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14:paraId="4A5328BD" w14:textId="77777777" w:rsidR="002062AD" w:rsidRDefault="002062AD">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姓名/性别</w:t>
            </w:r>
          </w:p>
        </w:tc>
        <w:tc>
          <w:tcPr>
            <w:tcW w:w="198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34EB0E6" w14:textId="77777777" w:rsidR="002062AD" w:rsidRDefault="002062AD">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李嘉钰/女</w:t>
            </w:r>
          </w:p>
        </w:tc>
        <w:tc>
          <w:tcPr>
            <w:tcW w:w="2268"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2CE56A62" w14:textId="77777777" w:rsidR="002062AD" w:rsidRDefault="002062AD">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孙家盛/男</w:t>
            </w:r>
          </w:p>
        </w:tc>
        <w:tc>
          <w:tcPr>
            <w:tcW w:w="2435" w:type="dxa"/>
            <w:tcBorders>
              <w:top w:val="nil"/>
              <w:left w:val="nil"/>
              <w:bottom w:val="single" w:sz="4" w:space="0" w:color="auto"/>
              <w:right w:val="single" w:sz="8" w:space="0" w:color="auto"/>
            </w:tcBorders>
            <w:noWrap/>
            <w:tcMar>
              <w:top w:w="15" w:type="dxa"/>
              <w:left w:w="15" w:type="dxa"/>
              <w:bottom w:w="0" w:type="dxa"/>
              <w:right w:w="15" w:type="dxa"/>
            </w:tcMar>
            <w:vAlign w:val="center"/>
          </w:tcPr>
          <w:p w14:paraId="3AF1781C" w14:textId="0D64E054" w:rsidR="002062AD" w:rsidRDefault="002062AD">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郑博文/男</w:t>
            </w:r>
          </w:p>
        </w:tc>
      </w:tr>
      <w:tr w:rsidR="002062AD" w14:paraId="56836EF2" w14:textId="77777777" w:rsidTr="002062AD">
        <w:trPr>
          <w:trHeight w:val="510"/>
        </w:trPr>
        <w:tc>
          <w:tcPr>
            <w:tcW w:w="1550"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14:paraId="0C38E425" w14:textId="77777777" w:rsidR="002062AD" w:rsidRDefault="002062AD">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学号</w:t>
            </w:r>
          </w:p>
        </w:tc>
        <w:tc>
          <w:tcPr>
            <w:tcW w:w="198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D9523D9" w14:textId="77777777" w:rsidR="002062AD" w:rsidRDefault="002062AD">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2020141240149</w:t>
            </w:r>
          </w:p>
        </w:tc>
        <w:tc>
          <w:tcPr>
            <w:tcW w:w="2268"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5D8D35D0" w14:textId="77777777" w:rsidR="002062AD" w:rsidRDefault="002062AD">
            <w:pPr>
              <w:ind w:leftChars="-8" w:left="-17"/>
              <w:jc w:val="center"/>
              <w:rPr>
                <w:rFonts w:ascii="仿宋_GB2312" w:eastAsia="仿宋_GB2312" w:hAnsi="仿宋" w:cs="仿宋"/>
                <w:color w:val="000000" w:themeColor="text1"/>
                <w:sz w:val="24"/>
              </w:rPr>
            </w:pPr>
            <w:r>
              <w:rPr>
                <w:rFonts w:ascii="仿宋_GB2312" w:eastAsia="仿宋_GB2312" w:hAnsi="仿宋" w:cs="仿宋"/>
                <w:color w:val="000000" w:themeColor="text1"/>
                <w:sz w:val="24"/>
              </w:rPr>
              <w:t>2020141410054</w:t>
            </w:r>
          </w:p>
        </w:tc>
        <w:tc>
          <w:tcPr>
            <w:tcW w:w="2435" w:type="dxa"/>
            <w:tcBorders>
              <w:top w:val="nil"/>
              <w:left w:val="nil"/>
              <w:bottom w:val="single" w:sz="4" w:space="0" w:color="auto"/>
              <w:right w:val="single" w:sz="8" w:space="0" w:color="auto"/>
            </w:tcBorders>
            <w:noWrap/>
            <w:tcMar>
              <w:top w:w="15" w:type="dxa"/>
              <w:left w:w="15" w:type="dxa"/>
              <w:bottom w:w="0" w:type="dxa"/>
              <w:right w:w="15" w:type="dxa"/>
            </w:tcMar>
            <w:vAlign w:val="center"/>
          </w:tcPr>
          <w:p w14:paraId="45EE0004" w14:textId="7981408B" w:rsidR="002062AD" w:rsidRDefault="002062AD">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2021141670012</w:t>
            </w:r>
          </w:p>
        </w:tc>
      </w:tr>
      <w:tr w:rsidR="002062AD" w14:paraId="3399B19D" w14:textId="77777777" w:rsidTr="002062AD">
        <w:trPr>
          <w:trHeight w:val="510"/>
        </w:trPr>
        <w:tc>
          <w:tcPr>
            <w:tcW w:w="1550"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14:paraId="0B441D6C" w14:textId="77777777" w:rsidR="002062AD" w:rsidRDefault="002062AD">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专业年级</w:t>
            </w:r>
          </w:p>
        </w:tc>
        <w:tc>
          <w:tcPr>
            <w:tcW w:w="1984" w:type="dxa"/>
            <w:tcBorders>
              <w:top w:val="nil"/>
              <w:left w:val="nil"/>
              <w:bottom w:val="single" w:sz="4" w:space="0" w:color="auto"/>
              <w:right w:val="single" w:sz="4" w:space="0" w:color="auto"/>
            </w:tcBorders>
            <w:tcMar>
              <w:top w:w="15" w:type="dxa"/>
              <w:left w:w="15" w:type="dxa"/>
              <w:bottom w:w="0" w:type="dxa"/>
              <w:right w:w="15" w:type="dxa"/>
            </w:tcMar>
            <w:vAlign w:val="center"/>
          </w:tcPr>
          <w:p w14:paraId="4F29741A" w14:textId="77777777" w:rsidR="002062AD" w:rsidRDefault="002062AD">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2020级</w:t>
            </w:r>
          </w:p>
        </w:tc>
        <w:tc>
          <w:tcPr>
            <w:tcW w:w="2268"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0457E84F" w14:textId="77777777" w:rsidR="002062AD" w:rsidRDefault="002062AD">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2021级</w:t>
            </w:r>
          </w:p>
        </w:tc>
        <w:tc>
          <w:tcPr>
            <w:tcW w:w="2435" w:type="dxa"/>
            <w:tcBorders>
              <w:top w:val="nil"/>
              <w:left w:val="nil"/>
              <w:bottom w:val="single" w:sz="4" w:space="0" w:color="auto"/>
              <w:right w:val="single" w:sz="8" w:space="0" w:color="auto"/>
            </w:tcBorders>
            <w:noWrap/>
            <w:tcMar>
              <w:top w:w="15" w:type="dxa"/>
              <w:left w:w="15" w:type="dxa"/>
              <w:bottom w:w="0" w:type="dxa"/>
              <w:right w:w="15" w:type="dxa"/>
            </w:tcMar>
            <w:vAlign w:val="center"/>
          </w:tcPr>
          <w:p w14:paraId="7E879CDC" w14:textId="1CD7CBB2" w:rsidR="002062AD" w:rsidRDefault="002062AD">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2021级</w:t>
            </w:r>
          </w:p>
        </w:tc>
      </w:tr>
      <w:tr w:rsidR="002062AD" w14:paraId="22CB6E15" w14:textId="77777777" w:rsidTr="002062AD">
        <w:trPr>
          <w:trHeight w:val="510"/>
        </w:trPr>
        <w:tc>
          <w:tcPr>
            <w:tcW w:w="1550"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14:paraId="2A3F9A18" w14:textId="77777777" w:rsidR="002062AD" w:rsidRDefault="002062AD">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所在学院</w:t>
            </w:r>
          </w:p>
        </w:tc>
        <w:tc>
          <w:tcPr>
            <w:tcW w:w="1984" w:type="dxa"/>
            <w:tcBorders>
              <w:top w:val="nil"/>
              <w:left w:val="nil"/>
              <w:bottom w:val="single" w:sz="4" w:space="0" w:color="auto"/>
              <w:right w:val="single" w:sz="4" w:space="0" w:color="auto"/>
            </w:tcBorders>
            <w:tcMar>
              <w:top w:w="15" w:type="dxa"/>
              <w:left w:w="15" w:type="dxa"/>
              <w:bottom w:w="0" w:type="dxa"/>
              <w:right w:w="15" w:type="dxa"/>
            </w:tcMar>
            <w:vAlign w:val="center"/>
          </w:tcPr>
          <w:p w14:paraId="65075E30" w14:textId="77777777" w:rsidR="002062AD" w:rsidRDefault="002062AD">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生命科学学院</w:t>
            </w:r>
          </w:p>
        </w:tc>
        <w:tc>
          <w:tcPr>
            <w:tcW w:w="2268" w:type="dxa"/>
            <w:gridSpan w:val="2"/>
            <w:tcBorders>
              <w:top w:val="nil"/>
              <w:left w:val="nil"/>
              <w:bottom w:val="single" w:sz="4" w:space="0" w:color="auto"/>
              <w:right w:val="single" w:sz="4" w:space="0" w:color="auto"/>
            </w:tcBorders>
            <w:tcMar>
              <w:top w:w="15" w:type="dxa"/>
              <w:left w:w="15" w:type="dxa"/>
              <w:bottom w:w="0" w:type="dxa"/>
              <w:right w:w="15" w:type="dxa"/>
            </w:tcMar>
            <w:vAlign w:val="center"/>
          </w:tcPr>
          <w:p w14:paraId="66B53E9D" w14:textId="77777777" w:rsidR="002062AD" w:rsidRDefault="002062AD">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计算机学院</w:t>
            </w:r>
          </w:p>
        </w:tc>
        <w:tc>
          <w:tcPr>
            <w:tcW w:w="2435" w:type="dxa"/>
            <w:tcBorders>
              <w:top w:val="nil"/>
              <w:left w:val="nil"/>
              <w:bottom w:val="single" w:sz="4" w:space="0" w:color="auto"/>
              <w:right w:val="single" w:sz="8" w:space="0" w:color="auto"/>
            </w:tcBorders>
            <w:tcMar>
              <w:top w:w="15" w:type="dxa"/>
              <w:left w:w="15" w:type="dxa"/>
              <w:bottom w:w="0" w:type="dxa"/>
              <w:right w:w="15" w:type="dxa"/>
            </w:tcMar>
            <w:vAlign w:val="center"/>
          </w:tcPr>
          <w:p w14:paraId="13684929" w14:textId="006EC669" w:rsidR="002062AD" w:rsidRDefault="002062AD">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生物医学工程学院</w:t>
            </w:r>
          </w:p>
        </w:tc>
      </w:tr>
      <w:tr w:rsidR="002062AD" w14:paraId="3AFAB8F8" w14:textId="77777777" w:rsidTr="002062AD">
        <w:trPr>
          <w:trHeight w:val="510"/>
        </w:trPr>
        <w:tc>
          <w:tcPr>
            <w:tcW w:w="1550"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14:paraId="714ADA57" w14:textId="77777777" w:rsidR="002062AD" w:rsidRDefault="002062AD">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手机</w:t>
            </w:r>
          </w:p>
        </w:tc>
        <w:tc>
          <w:tcPr>
            <w:tcW w:w="1984" w:type="dxa"/>
            <w:tcBorders>
              <w:top w:val="nil"/>
              <w:left w:val="nil"/>
              <w:bottom w:val="single" w:sz="4" w:space="0" w:color="auto"/>
              <w:right w:val="single" w:sz="4" w:space="0" w:color="auto"/>
            </w:tcBorders>
            <w:tcMar>
              <w:top w:w="15" w:type="dxa"/>
              <w:left w:w="15" w:type="dxa"/>
              <w:bottom w:w="0" w:type="dxa"/>
              <w:right w:w="15" w:type="dxa"/>
            </w:tcMar>
            <w:vAlign w:val="center"/>
          </w:tcPr>
          <w:p w14:paraId="5FA73D14" w14:textId="77777777" w:rsidR="002062AD" w:rsidRDefault="002062AD">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17208274585</w:t>
            </w:r>
          </w:p>
        </w:tc>
        <w:tc>
          <w:tcPr>
            <w:tcW w:w="2268" w:type="dxa"/>
            <w:gridSpan w:val="2"/>
            <w:tcBorders>
              <w:top w:val="nil"/>
              <w:left w:val="nil"/>
              <w:bottom w:val="single" w:sz="4" w:space="0" w:color="auto"/>
              <w:right w:val="single" w:sz="4" w:space="0" w:color="auto"/>
            </w:tcBorders>
            <w:tcMar>
              <w:top w:w="15" w:type="dxa"/>
              <w:left w:w="15" w:type="dxa"/>
              <w:bottom w:w="0" w:type="dxa"/>
              <w:right w:w="15" w:type="dxa"/>
            </w:tcMar>
            <w:vAlign w:val="center"/>
          </w:tcPr>
          <w:p w14:paraId="2DDF23AD" w14:textId="77777777" w:rsidR="002062AD" w:rsidRDefault="002062AD">
            <w:pPr>
              <w:jc w:val="center"/>
              <w:rPr>
                <w:rFonts w:ascii="仿宋_GB2312" w:eastAsia="仿宋_GB2312" w:hAnsi="仿宋" w:cs="仿宋"/>
                <w:color w:val="000000" w:themeColor="text1"/>
                <w:sz w:val="24"/>
              </w:rPr>
            </w:pPr>
            <w:r>
              <w:rPr>
                <w:rFonts w:ascii="仿宋_GB2312" w:eastAsia="仿宋_GB2312" w:hAnsi="仿宋" w:cs="仿宋"/>
                <w:color w:val="000000" w:themeColor="text1"/>
                <w:sz w:val="24"/>
              </w:rPr>
              <w:t>17208280800</w:t>
            </w:r>
          </w:p>
        </w:tc>
        <w:tc>
          <w:tcPr>
            <w:tcW w:w="2435" w:type="dxa"/>
            <w:tcBorders>
              <w:top w:val="nil"/>
              <w:left w:val="nil"/>
              <w:bottom w:val="single" w:sz="4" w:space="0" w:color="auto"/>
              <w:right w:val="single" w:sz="8" w:space="0" w:color="auto"/>
            </w:tcBorders>
            <w:noWrap/>
            <w:tcMar>
              <w:top w:w="15" w:type="dxa"/>
              <w:left w:w="15" w:type="dxa"/>
              <w:bottom w:w="0" w:type="dxa"/>
              <w:right w:w="15" w:type="dxa"/>
            </w:tcMar>
            <w:vAlign w:val="center"/>
          </w:tcPr>
          <w:p w14:paraId="12D97218" w14:textId="1BCD0CB3" w:rsidR="002062AD" w:rsidRDefault="002062AD">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17313175425</w:t>
            </w:r>
          </w:p>
        </w:tc>
      </w:tr>
      <w:tr w:rsidR="002062AD" w14:paraId="6C5138D7" w14:textId="77777777" w:rsidTr="002062AD">
        <w:trPr>
          <w:trHeight w:val="510"/>
        </w:trPr>
        <w:tc>
          <w:tcPr>
            <w:tcW w:w="1550"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14:paraId="3F96C90D" w14:textId="77777777" w:rsidR="002062AD" w:rsidRDefault="002062AD">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电子邮箱</w:t>
            </w:r>
          </w:p>
        </w:tc>
        <w:tc>
          <w:tcPr>
            <w:tcW w:w="198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6ABD217" w14:textId="77777777" w:rsidR="002062AD" w:rsidRPr="002062AD" w:rsidRDefault="002062AD">
            <w:pPr>
              <w:jc w:val="center"/>
              <w:rPr>
                <w:rFonts w:ascii="仿宋_GB2312" w:eastAsia="仿宋_GB2312" w:hAnsi="仿宋" w:cs="仿宋"/>
                <w:color w:val="000000" w:themeColor="text1"/>
                <w:sz w:val="18"/>
                <w:szCs w:val="18"/>
              </w:rPr>
            </w:pPr>
            <w:r w:rsidRPr="002062AD">
              <w:rPr>
                <w:rFonts w:ascii="仿宋_GB2312" w:eastAsia="仿宋_GB2312" w:hAnsi="仿宋" w:cs="仿宋" w:hint="eastAsia"/>
                <w:color w:val="000000" w:themeColor="text1"/>
                <w:sz w:val="18"/>
                <w:szCs w:val="18"/>
              </w:rPr>
              <w:t>474313717@</w:t>
            </w:r>
            <w:r w:rsidRPr="002062AD">
              <w:rPr>
                <w:rFonts w:ascii="仿宋_GB2312" w:eastAsia="仿宋_GB2312" w:hAnsi="仿宋" w:cs="仿宋"/>
                <w:color w:val="000000" w:themeColor="text1"/>
                <w:sz w:val="18"/>
                <w:szCs w:val="18"/>
              </w:rPr>
              <w:t>qq.com</w:t>
            </w:r>
          </w:p>
        </w:tc>
        <w:tc>
          <w:tcPr>
            <w:tcW w:w="2268"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58A77214" w14:textId="77777777" w:rsidR="002062AD" w:rsidRPr="002062AD" w:rsidRDefault="002062AD">
            <w:pPr>
              <w:jc w:val="center"/>
              <w:rPr>
                <w:rFonts w:ascii="仿宋_GB2312" w:eastAsia="仿宋_GB2312" w:hAnsi="仿宋" w:cs="仿宋"/>
                <w:color w:val="000000" w:themeColor="text1"/>
                <w:sz w:val="18"/>
                <w:szCs w:val="18"/>
              </w:rPr>
            </w:pPr>
            <w:r w:rsidRPr="002062AD">
              <w:rPr>
                <w:rFonts w:ascii="仿宋_GB2312" w:eastAsia="仿宋_GB2312" w:hAnsi="仿宋" w:cs="仿宋"/>
                <w:color w:val="000000" w:themeColor="text1"/>
                <w:sz w:val="18"/>
                <w:szCs w:val="18"/>
              </w:rPr>
              <w:t>2651472193@qq.com</w:t>
            </w:r>
          </w:p>
        </w:tc>
        <w:tc>
          <w:tcPr>
            <w:tcW w:w="2435" w:type="dxa"/>
            <w:tcBorders>
              <w:top w:val="nil"/>
              <w:left w:val="nil"/>
              <w:bottom w:val="single" w:sz="4" w:space="0" w:color="auto"/>
              <w:right w:val="single" w:sz="8" w:space="0" w:color="auto"/>
            </w:tcBorders>
            <w:noWrap/>
            <w:tcMar>
              <w:top w:w="15" w:type="dxa"/>
              <w:left w:w="15" w:type="dxa"/>
              <w:bottom w:w="0" w:type="dxa"/>
              <w:right w:w="15" w:type="dxa"/>
            </w:tcMar>
            <w:vAlign w:val="center"/>
          </w:tcPr>
          <w:p w14:paraId="140704D6" w14:textId="134777C0" w:rsidR="002062AD" w:rsidRPr="002062AD" w:rsidRDefault="002062AD">
            <w:pPr>
              <w:jc w:val="center"/>
              <w:rPr>
                <w:rFonts w:ascii="仿宋_GB2312" w:eastAsia="仿宋_GB2312" w:hAnsi="仿宋" w:cs="仿宋"/>
                <w:color w:val="000000" w:themeColor="text1"/>
                <w:sz w:val="18"/>
                <w:szCs w:val="18"/>
              </w:rPr>
            </w:pPr>
            <w:r w:rsidRPr="002062AD">
              <w:rPr>
                <w:rFonts w:ascii="仿宋_GB2312" w:eastAsia="仿宋_GB2312" w:hAnsi="仿宋" w:cs="仿宋" w:hint="eastAsia"/>
                <w:color w:val="000000" w:themeColor="text1"/>
                <w:sz w:val="18"/>
                <w:szCs w:val="18"/>
              </w:rPr>
              <w:t>zhengbowen101@foxmail.</w:t>
            </w:r>
            <w:r w:rsidRPr="002062AD">
              <w:rPr>
                <w:rFonts w:ascii="仿宋_GB2312" w:eastAsia="仿宋_GB2312" w:hAnsi="仿宋" w:cs="仿宋"/>
                <w:color w:val="000000" w:themeColor="text1"/>
                <w:sz w:val="18"/>
                <w:szCs w:val="18"/>
              </w:rPr>
              <w:t>com</w:t>
            </w:r>
          </w:p>
        </w:tc>
      </w:tr>
      <w:tr w:rsidR="002062AD" w14:paraId="64479BA2" w14:textId="77777777" w:rsidTr="002062AD">
        <w:trPr>
          <w:trHeight w:val="510"/>
        </w:trPr>
        <w:tc>
          <w:tcPr>
            <w:tcW w:w="1550"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14:paraId="02FE8BAB" w14:textId="77777777" w:rsidR="002062AD" w:rsidRDefault="002062AD">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身份证号</w:t>
            </w:r>
          </w:p>
        </w:tc>
        <w:tc>
          <w:tcPr>
            <w:tcW w:w="198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A40C076" w14:textId="77777777" w:rsidR="002062AD" w:rsidRPr="002062AD" w:rsidRDefault="002062AD">
            <w:pPr>
              <w:jc w:val="center"/>
              <w:rPr>
                <w:rFonts w:ascii="仿宋_GB2312" w:eastAsia="仿宋_GB2312" w:hAnsi="仿宋" w:cs="仿宋"/>
                <w:color w:val="000000" w:themeColor="text1"/>
                <w:sz w:val="18"/>
                <w:szCs w:val="18"/>
              </w:rPr>
            </w:pPr>
            <w:r w:rsidRPr="002062AD">
              <w:rPr>
                <w:rFonts w:ascii="仿宋_GB2312" w:eastAsia="仿宋_GB2312" w:hAnsi="仿宋" w:cs="仿宋"/>
                <w:color w:val="000000" w:themeColor="text1"/>
                <w:sz w:val="18"/>
                <w:szCs w:val="18"/>
              </w:rPr>
              <w:t>12010320010927512X</w:t>
            </w:r>
          </w:p>
        </w:tc>
        <w:tc>
          <w:tcPr>
            <w:tcW w:w="2268"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2124688E" w14:textId="77777777" w:rsidR="002062AD" w:rsidRPr="002062AD" w:rsidRDefault="002062AD">
            <w:pPr>
              <w:jc w:val="center"/>
              <w:rPr>
                <w:rFonts w:ascii="仿宋_GB2312" w:eastAsia="仿宋_GB2312" w:hAnsi="仿宋" w:cs="仿宋"/>
                <w:color w:val="000000" w:themeColor="text1"/>
                <w:sz w:val="18"/>
                <w:szCs w:val="18"/>
              </w:rPr>
            </w:pPr>
            <w:r w:rsidRPr="002062AD">
              <w:rPr>
                <w:rFonts w:ascii="仿宋_GB2312" w:eastAsia="仿宋_GB2312" w:hAnsi="仿宋" w:cs="仿宋"/>
                <w:color w:val="000000" w:themeColor="text1"/>
                <w:sz w:val="18"/>
                <w:szCs w:val="18"/>
              </w:rPr>
              <w:t>321322200307053657</w:t>
            </w:r>
          </w:p>
        </w:tc>
        <w:tc>
          <w:tcPr>
            <w:tcW w:w="2435" w:type="dxa"/>
            <w:tcBorders>
              <w:top w:val="nil"/>
              <w:left w:val="nil"/>
              <w:bottom w:val="single" w:sz="4" w:space="0" w:color="auto"/>
              <w:right w:val="single" w:sz="8" w:space="0" w:color="auto"/>
            </w:tcBorders>
            <w:noWrap/>
            <w:tcMar>
              <w:top w:w="15" w:type="dxa"/>
              <w:left w:w="15" w:type="dxa"/>
              <w:bottom w:w="0" w:type="dxa"/>
              <w:right w:w="15" w:type="dxa"/>
            </w:tcMar>
            <w:vAlign w:val="center"/>
          </w:tcPr>
          <w:p w14:paraId="036567B1" w14:textId="7494AB62" w:rsidR="002062AD" w:rsidRPr="002062AD" w:rsidRDefault="002062AD">
            <w:pPr>
              <w:jc w:val="center"/>
              <w:rPr>
                <w:rFonts w:ascii="仿宋_GB2312" w:eastAsia="仿宋_GB2312" w:hAnsi="仿宋" w:cs="仿宋"/>
                <w:color w:val="000000" w:themeColor="text1"/>
                <w:sz w:val="18"/>
                <w:szCs w:val="18"/>
              </w:rPr>
            </w:pPr>
            <w:r w:rsidRPr="002062AD">
              <w:rPr>
                <w:rFonts w:ascii="仿宋_GB2312" w:eastAsia="仿宋_GB2312" w:hAnsi="仿宋" w:cs="仿宋" w:hint="eastAsia"/>
                <w:color w:val="000000" w:themeColor="text1"/>
                <w:sz w:val="18"/>
                <w:szCs w:val="18"/>
              </w:rPr>
              <w:t>4</w:t>
            </w:r>
            <w:r w:rsidRPr="002062AD">
              <w:rPr>
                <w:rFonts w:ascii="仿宋_GB2312" w:eastAsia="仿宋_GB2312" w:hAnsi="仿宋" w:cs="仿宋"/>
                <w:color w:val="000000" w:themeColor="text1"/>
                <w:sz w:val="18"/>
                <w:szCs w:val="18"/>
              </w:rPr>
              <w:t>30681200310207718</w:t>
            </w:r>
          </w:p>
        </w:tc>
      </w:tr>
      <w:tr w:rsidR="002062AD" w14:paraId="34333CD6" w14:textId="77777777" w:rsidTr="002062AD">
        <w:trPr>
          <w:trHeight w:val="510"/>
        </w:trPr>
        <w:tc>
          <w:tcPr>
            <w:tcW w:w="1550" w:type="dxa"/>
            <w:tcBorders>
              <w:top w:val="nil"/>
              <w:left w:val="single" w:sz="8" w:space="0" w:color="auto"/>
              <w:bottom w:val="single" w:sz="8" w:space="0" w:color="auto"/>
              <w:right w:val="single" w:sz="4" w:space="0" w:color="auto"/>
            </w:tcBorders>
            <w:noWrap/>
            <w:tcMar>
              <w:top w:w="15" w:type="dxa"/>
              <w:left w:w="15" w:type="dxa"/>
              <w:bottom w:w="0" w:type="dxa"/>
              <w:right w:w="15" w:type="dxa"/>
            </w:tcMar>
            <w:vAlign w:val="center"/>
          </w:tcPr>
          <w:p w14:paraId="2A2A87BF" w14:textId="77777777" w:rsidR="002062AD" w:rsidRDefault="002062AD">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签名</w:t>
            </w:r>
          </w:p>
        </w:tc>
        <w:tc>
          <w:tcPr>
            <w:tcW w:w="1984" w:type="dxa"/>
            <w:tcBorders>
              <w:top w:val="nil"/>
              <w:left w:val="nil"/>
              <w:bottom w:val="single" w:sz="8" w:space="0" w:color="auto"/>
              <w:right w:val="single" w:sz="4" w:space="0" w:color="auto"/>
            </w:tcBorders>
            <w:tcMar>
              <w:top w:w="15" w:type="dxa"/>
              <w:left w:w="15" w:type="dxa"/>
              <w:bottom w:w="0" w:type="dxa"/>
              <w:right w:w="15" w:type="dxa"/>
            </w:tcMar>
            <w:vAlign w:val="center"/>
          </w:tcPr>
          <w:p w14:paraId="3CA66176" w14:textId="77777777" w:rsidR="002062AD" w:rsidRDefault="002062AD">
            <w:pPr>
              <w:jc w:val="center"/>
              <w:rPr>
                <w:rFonts w:ascii="仿宋_GB2312" w:eastAsia="仿宋_GB2312" w:hAnsi="仿宋" w:cs="仿宋"/>
                <w:color w:val="000000" w:themeColor="text1"/>
                <w:sz w:val="24"/>
              </w:rPr>
            </w:pPr>
          </w:p>
        </w:tc>
        <w:tc>
          <w:tcPr>
            <w:tcW w:w="2268" w:type="dxa"/>
            <w:gridSpan w:val="2"/>
            <w:tcBorders>
              <w:top w:val="nil"/>
              <w:left w:val="nil"/>
              <w:bottom w:val="single" w:sz="8" w:space="0" w:color="auto"/>
              <w:right w:val="single" w:sz="4" w:space="0" w:color="auto"/>
            </w:tcBorders>
            <w:tcMar>
              <w:top w:w="15" w:type="dxa"/>
              <w:left w:w="15" w:type="dxa"/>
              <w:bottom w:w="0" w:type="dxa"/>
              <w:right w:w="15" w:type="dxa"/>
            </w:tcMar>
            <w:vAlign w:val="center"/>
          </w:tcPr>
          <w:p w14:paraId="55F5B2C0" w14:textId="77777777" w:rsidR="002062AD" w:rsidRDefault="002062AD">
            <w:pPr>
              <w:jc w:val="center"/>
              <w:rPr>
                <w:rFonts w:ascii="仿宋_GB2312" w:eastAsia="仿宋_GB2312" w:hAnsi="仿宋" w:cs="仿宋"/>
                <w:color w:val="000000" w:themeColor="text1"/>
                <w:sz w:val="24"/>
              </w:rPr>
            </w:pPr>
          </w:p>
        </w:tc>
        <w:tc>
          <w:tcPr>
            <w:tcW w:w="2435" w:type="dxa"/>
            <w:tcBorders>
              <w:top w:val="nil"/>
              <w:left w:val="nil"/>
              <w:bottom w:val="single" w:sz="8" w:space="0" w:color="auto"/>
              <w:right w:val="single" w:sz="8" w:space="0" w:color="auto"/>
            </w:tcBorders>
            <w:tcMar>
              <w:top w:w="15" w:type="dxa"/>
              <w:left w:w="15" w:type="dxa"/>
              <w:bottom w:w="0" w:type="dxa"/>
              <w:right w:w="15" w:type="dxa"/>
            </w:tcMar>
            <w:vAlign w:val="center"/>
          </w:tcPr>
          <w:p w14:paraId="5637C2A6" w14:textId="77777777" w:rsidR="002062AD" w:rsidRDefault="002062AD">
            <w:pPr>
              <w:jc w:val="center"/>
              <w:rPr>
                <w:rFonts w:ascii="仿宋_GB2312" w:eastAsia="仿宋_GB2312" w:hAnsi="仿宋" w:cs="仿宋"/>
                <w:color w:val="000000" w:themeColor="text1"/>
                <w:sz w:val="24"/>
              </w:rPr>
            </w:pPr>
          </w:p>
        </w:tc>
      </w:tr>
      <w:tr w:rsidR="00E22223" w14:paraId="10FD7FD9" w14:textId="77777777">
        <w:trPr>
          <w:trHeight w:val="501"/>
        </w:trPr>
        <w:tc>
          <w:tcPr>
            <w:tcW w:w="8237" w:type="dxa"/>
            <w:gridSpan w:val="5"/>
            <w:tcBorders>
              <w:top w:val="nil"/>
              <w:left w:val="single" w:sz="8" w:space="0" w:color="auto"/>
              <w:bottom w:val="single" w:sz="4" w:space="0" w:color="auto"/>
              <w:right w:val="single" w:sz="8" w:space="0" w:color="000000"/>
            </w:tcBorders>
            <w:tcMar>
              <w:top w:w="15" w:type="dxa"/>
              <w:left w:w="15" w:type="dxa"/>
              <w:bottom w:w="0" w:type="dxa"/>
              <w:right w:w="15" w:type="dxa"/>
            </w:tcMar>
            <w:vAlign w:val="center"/>
          </w:tcPr>
          <w:p w14:paraId="2CB1B21D" w14:textId="77777777" w:rsidR="00E22223" w:rsidRDefault="00000000">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指导教师1 基本信息</w:t>
            </w:r>
          </w:p>
          <w:p w14:paraId="380ACA3E" w14:textId="77777777" w:rsidR="00E22223" w:rsidRDefault="00000000">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（非交叉学科子计划项目一般仅允许一位指导老师）</w:t>
            </w:r>
          </w:p>
        </w:tc>
      </w:tr>
      <w:tr w:rsidR="00E22223" w14:paraId="1C35C81D" w14:textId="77777777" w:rsidTr="002062AD">
        <w:trPr>
          <w:trHeight w:val="384"/>
        </w:trPr>
        <w:tc>
          <w:tcPr>
            <w:tcW w:w="1550"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14:paraId="681E5AB5" w14:textId="77777777" w:rsidR="00E22223" w:rsidRDefault="00000000">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姓名</w:t>
            </w:r>
          </w:p>
        </w:tc>
        <w:tc>
          <w:tcPr>
            <w:tcW w:w="198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F8AB867" w14:textId="77777777" w:rsidR="00E22223" w:rsidRDefault="00000000">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所在学院或单位</w:t>
            </w:r>
          </w:p>
        </w:tc>
        <w:tc>
          <w:tcPr>
            <w:tcW w:w="2268" w:type="dxa"/>
            <w:gridSpan w:val="2"/>
            <w:tcBorders>
              <w:top w:val="nil"/>
              <w:left w:val="nil"/>
              <w:bottom w:val="single" w:sz="4" w:space="0" w:color="auto"/>
              <w:right w:val="single" w:sz="4" w:space="0" w:color="auto"/>
            </w:tcBorders>
            <w:tcMar>
              <w:top w:w="15" w:type="dxa"/>
              <w:left w:w="15" w:type="dxa"/>
              <w:bottom w:w="0" w:type="dxa"/>
              <w:right w:w="15" w:type="dxa"/>
            </w:tcMar>
            <w:vAlign w:val="center"/>
          </w:tcPr>
          <w:p w14:paraId="37D141C7" w14:textId="77777777" w:rsidR="00E22223" w:rsidRDefault="00000000">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研究方向</w:t>
            </w:r>
          </w:p>
        </w:tc>
        <w:tc>
          <w:tcPr>
            <w:tcW w:w="2435" w:type="dxa"/>
            <w:tcBorders>
              <w:top w:val="nil"/>
              <w:left w:val="nil"/>
              <w:bottom w:val="single" w:sz="4" w:space="0" w:color="auto"/>
              <w:right w:val="single" w:sz="8" w:space="0" w:color="auto"/>
            </w:tcBorders>
            <w:tcMar>
              <w:top w:w="15" w:type="dxa"/>
              <w:left w:w="15" w:type="dxa"/>
              <w:bottom w:w="0" w:type="dxa"/>
              <w:right w:w="15" w:type="dxa"/>
            </w:tcMar>
            <w:vAlign w:val="center"/>
          </w:tcPr>
          <w:p w14:paraId="71D53A98" w14:textId="77777777" w:rsidR="00E22223" w:rsidRDefault="00000000">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职称/职务</w:t>
            </w:r>
          </w:p>
        </w:tc>
      </w:tr>
      <w:tr w:rsidR="00E22223" w14:paraId="66032E99" w14:textId="77777777" w:rsidTr="002062AD">
        <w:trPr>
          <w:trHeight w:val="510"/>
        </w:trPr>
        <w:tc>
          <w:tcPr>
            <w:tcW w:w="1550"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14:paraId="564AD3C8" w14:textId="77777777" w:rsidR="00E22223" w:rsidRDefault="00000000">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吕志彬</w:t>
            </w:r>
          </w:p>
        </w:tc>
        <w:tc>
          <w:tcPr>
            <w:tcW w:w="1984" w:type="dxa"/>
            <w:tcBorders>
              <w:top w:val="nil"/>
              <w:left w:val="nil"/>
              <w:bottom w:val="single" w:sz="4" w:space="0" w:color="auto"/>
              <w:right w:val="single" w:sz="4" w:space="0" w:color="auto"/>
            </w:tcBorders>
            <w:tcMar>
              <w:top w:w="15" w:type="dxa"/>
              <w:left w:w="15" w:type="dxa"/>
              <w:bottom w:w="0" w:type="dxa"/>
              <w:right w:w="15" w:type="dxa"/>
            </w:tcMar>
            <w:vAlign w:val="center"/>
          </w:tcPr>
          <w:p w14:paraId="0FAB71EE" w14:textId="77777777" w:rsidR="00E22223" w:rsidRDefault="00000000">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生物医学工程学院</w:t>
            </w:r>
          </w:p>
        </w:tc>
        <w:tc>
          <w:tcPr>
            <w:tcW w:w="2268" w:type="dxa"/>
            <w:gridSpan w:val="2"/>
            <w:tcBorders>
              <w:top w:val="nil"/>
              <w:left w:val="nil"/>
              <w:bottom w:val="single" w:sz="4" w:space="0" w:color="auto"/>
              <w:right w:val="single" w:sz="4" w:space="0" w:color="auto"/>
            </w:tcBorders>
            <w:tcMar>
              <w:top w:w="15" w:type="dxa"/>
              <w:left w:w="15" w:type="dxa"/>
              <w:bottom w:w="0" w:type="dxa"/>
              <w:right w:w="15" w:type="dxa"/>
            </w:tcMar>
            <w:vAlign w:val="center"/>
          </w:tcPr>
          <w:p w14:paraId="3F3E7BDF" w14:textId="77777777" w:rsidR="00E22223" w:rsidRDefault="00000000">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生物医学信息</w:t>
            </w:r>
          </w:p>
        </w:tc>
        <w:tc>
          <w:tcPr>
            <w:tcW w:w="2435" w:type="dxa"/>
            <w:tcBorders>
              <w:top w:val="nil"/>
              <w:left w:val="nil"/>
              <w:bottom w:val="single" w:sz="4" w:space="0" w:color="auto"/>
              <w:right w:val="single" w:sz="8" w:space="0" w:color="auto"/>
            </w:tcBorders>
            <w:tcMar>
              <w:top w:w="15" w:type="dxa"/>
              <w:left w:w="15" w:type="dxa"/>
              <w:bottom w:w="0" w:type="dxa"/>
              <w:right w:w="15" w:type="dxa"/>
            </w:tcMar>
            <w:vAlign w:val="center"/>
          </w:tcPr>
          <w:p w14:paraId="5B22EDA1" w14:textId="77777777" w:rsidR="00E22223" w:rsidRDefault="00000000">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副研究员</w:t>
            </w:r>
          </w:p>
        </w:tc>
      </w:tr>
      <w:tr w:rsidR="00E22223" w14:paraId="78E5ABB6" w14:textId="77777777" w:rsidTr="002062AD">
        <w:trPr>
          <w:trHeight w:val="440"/>
        </w:trPr>
        <w:tc>
          <w:tcPr>
            <w:tcW w:w="1550"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14:paraId="231FA01D" w14:textId="77777777" w:rsidR="00E22223" w:rsidRDefault="00000000">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性别/年龄</w:t>
            </w:r>
          </w:p>
        </w:tc>
        <w:tc>
          <w:tcPr>
            <w:tcW w:w="1984" w:type="dxa"/>
            <w:tcBorders>
              <w:top w:val="nil"/>
              <w:left w:val="nil"/>
              <w:bottom w:val="single" w:sz="4" w:space="0" w:color="auto"/>
              <w:right w:val="single" w:sz="4" w:space="0" w:color="auto"/>
            </w:tcBorders>
            <w:tcMar>
              <w:top w:w="15" w:type="dxa"/>
              <w:left w:w="15" w:type="dxa"/>
              <w:bottom w:w="0" w:type="dxa"/>
              <w:right w:w="15" w:type="dxa"/>
            </w:tcMar>
            <w:vAlign w:val="center"/>
          </w:tcPr>
          <w:p w14:paraId="0F4E4E08" w14:textId="77777777" w:rsidR="00E22223" w:rsidRDefault="00000000">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手机</w:t>
            </w:r>
          </w:p>
        </w:tc>
        <w:tc>
          <w:tcPr>
            <w:tcW w:w="2268" w:type="dxa"/>
            <w:gridSpan w:val="2"/>
            <w:tcBorders>
              <w:top w:val="nil"/>
              <w:left w:val="nil"/>
              <w:bottom w:val="single" w:sz="4" w:space="0" w:color="auto"/>
              <w:right w:val="single" w:sz="4" w:space="0" w:color="auto"/>
            </w:tcBorders>
            <w:tcMar>
              <w:top w:w="15" w:type="dxa"/>
              <w:left w:w="15" w:type="dxa"/>
              <w:bottom w:w="0" w:type="dxa"/>
              <w:right w:w="15" w:type="dxa"/>
            </w:tcMar>
            <w:vAlign w:val="center"/>
          </w:tcPr>
          <w:p w14:paraId="4A14460C" w14:textId="77777777" w:rsidR="00E22223" w:rsidRDefault="00000000">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电子邮箱</w:t>
            </w:r>
          </w:p>
        </w:tc>
        <w:tc>
          <w:tcPr>
            <w:tcW w:w="2435" w:type="dxa"/>
            <w:tcBorders>
              <w:top w:val="nil"/>
              <w:left w:val="nil"/>
              <w:bottom w:val="single" w:sz="4" w:space="0" w:color="auto"/>
              <w:right w:val="single" w:sz="8" w:space="0" w:color="auto"/>
            </w:tcBorders>
            <w:noWrap/>
            <w:tcMar>
              <w:top w:w="15" w:type="dxa"/>
              <w:left w:w="15" w:type="dxa"/>
              <w:bottom w:w="0" w:type="dxa"/>
              <w:right w:w="15" w:type="dxa"/>
            </w:tcMar>
            <w:vAlign w:val="center"/>
          </w:tcPr>
          <w:p w14:paraId="06D01C98" w14:textId="77777777" w:rsidR="00E22223" w:rsidRDefault="00000000">
            <w:pPr>
              <w:jc w:val="center"/>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签名</w:t>
            </w:r>
          </w:p>
        </w:tc>
      </w:tr>
    </w:tbl>
    <w:tbl>
      <w:tblPr>
        <w:tblpPr w:leftFromText="180" w:rightFromText="180" w:vertAnchor="text" w:tblpY="1"/>
        <w:tblOverlap w:val="never"/>
        <w:tblW w:w="8237" w:type="dxa"/>
        <w:tblLayout w:type="fixed"/>
        <w:tblCellMar>
          <w:left w:w="0" w:type="dxa"/>
          <w:right w:w="0" w:type="dxa"/>
        </w:tblCellMar>
        <w:tblLook w:val="04A0" w:firstRow="1" w:lastRow="0" w:firstColumn="1" w:lastColumn="0" w:noHBand="0" w:noVBand="1"/>
      </w:tblPr>
      <w:tblGrid>
        <w:gridCol w:w="1550"/>
        <w:gridCol w:w="1984"/>
        <w:gridCol w:w="2268"/>
        <w:gridCol w:w="2435"/>
      </w:tblGrid>
      <w:tr w:rsidR="00E22223" w14:paraId="656DD2BA" w14:textId="77777777" w:rsidTr="002062AD">
        <w:trPr>
          <w:trHeight w:val="510"/>
        </w:trPr>
        <w:tc>
          <w:tcPr>
            <w:tcW w:w="1550"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14:paraId="1DF963AC" w14:textId="77777777" w:rsidR="00E22223" w:rsidRDefault="00000000">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男/36</w:t>
            </w:r>
          </w:p>
        </w:tc>
        <w:tc>
          <w:tcPr>
            <w:tcW w:w="1984" w:type="dxa"/>
            <w:tcBorders>
              <w:top w:val="nil"/>
              <w:left w:val="nil"/>
              <w:bottom w:val="single" w:sz="4" w:space="0" w:color="auto"/>
              <w:right w:val="single" w:sz="4" w:space="0" w:color="auto"/>
            </w:tcBorders>
            <w:tcMar>
              <w:top w:w="15" w:type="dxa"/>
              <w:left w:w="15" w:type="dxa"/>
              <w:bottom w:w="0" w:type="dxa"/>
              <w:right w:w="15" w:type="dxa"/>
            </w:tcMar>
            <w:vAlign w:val="center"/>
          </w:tcPr>
          <w:p w14:paraId="03718F63" w14:textId="77777777" w:rsidR="00E22223" w:rsidRDefault="00000000">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18384181480</w:t>
            </w:r>
          </w:p>
        </w:tc>
        <w:tc>
          <w:tcPr>
            <w:tcW w:w="2268" w:type="dxa"/>
            <w:tcBorders>
              <w:top w:val="nil"/>
              <w:left w:val="nil"/>
              <w:bottom w:val="single" w:sz="4" w:space="0" w:color="auto"/>
              <w:right w:val="single" w:sz="4" w:space="0" w:color="auto"/>
            </w:tcBorders>
            <w:tcMar>
              <w:top w:w="15" w:type="dxa"/>
              <w:left w:w="15" w:type="dxa"/>
              <w:bottom w:w="0" w:type="dxa"/>
              <w:right w:w="15" w:type="dxa"/>
            </w:tcMar>
            <w:vAlign w:val="center"/>
          </w:tcPr>
          <w:p w14:paraId="36966A89" w14:textId="77777777" w:rsidR="00E22223" w:rsidRDefault="00000000">
            <w:pPr>
              <w:jc w:val="center"/>
              <w:rPr>
                <w:rFonts w:ascii="仿宋_GB2312" w:eastAsia="仿宋_GB2312" w:hAnsi="宋体"/>
                <w:color w:val="000000" w:themeColor="text1"/>
                <w:sz w:val="24"/>
              </w:rPr>
            </w:pPr>
            <w:hyperlink r:id="rId8" w:history="1">
              <w:r w:rsidRPr="002062AD">
                <w:rPr>
                  <w:rStyle w:val="ae"/>
                  <w:rFonts w:ascii="仿宋_GB2312" w:eastAsia="仿宋_GB2312" w:hAnsi="宋体" w:hint="eastAsia"/>
                  <w:sz w:val="18"/>
                  <w:szCs w:val="18"/>
                </w:rPr>
                <w:t>Lvzhibin2016@163.com</w:t>
              </w:r>
            </w:hyperlink>
          </w:p>
        </w:tc>
        <w:tc>
          <w:tcPr>
            <w:tcW w:w="2435" w:type="dxa"/>
            <w:tcBorders>
              <w:top w:val="nil"/>
              <w:left w:val="nil"/>
              <w:bottom w:val="single" w:sz="4" w:space="0" w:color="auto"/>
              <w:right w:val="single" w:sz="8" w:space="0" w:color="auto"/>
            </w:tcBorders>
            <w:tcMar>
              <w:top w:w="15" w:type="dxa"/>
              <w:left w:w="15" w:type="dxa"/>
              <w:bottom w:w="0" w:type="dxa"/>
              <w:right w:w="15" w:type="dxa"/>
            </w:tcMar>
            <w:vAlign w:val="center"/>
          </w:tcPr>
          <w:p w14:paraId="4381CBA2" w14:textId="77777777" w:rsidR="00E22223" w:rsidRDefault="00E22223">
            <w:pPr>
              <w:jc w:val="center"/>
              <w:rPr>
                <w:rFonts w:ascii="仿宋_GB2312" w:eastAsia="仿宋_GB2312" w:hAnsi="宋体"/>
                <w:color w:val="000000" w:themeColor="text1"/>
                <w:sz w:val="24"/>
              </w:rPr>
            </w:pPr>
          </w:p>
        </w:tc>
      </w:tr>
    </w:tbl>
    <w:p w14:paraId="7D8FA989" w14:textId="39661D45" w:rsidR="00E22223" w:rsidRDefault="00E22223">
      <w:pPr>
        <w:rPr>
          <w:rFonts w:ascii="仿宋_GB2312" w:eastAsia="仿宋_GB2312" w:hAnsi="宋体"/>
          <w:bCs/>
          <w:color w:val="000000" w:themeColor="text1"/>
          <w:sz w:val="24"/>
        </w:rPr>
      </w:pPr>
    </w:p>
    <w:p w14:paraId="1D7DBE67" w14:textId="7BFE4331" w:rsidR="002062AD" w:rsidRDefault="002062AD">
      <w:pPr>
        <w:rPr>
          <w:rFonts w:ascii="仿宋_GB2312" w:eastAsia="仿宋_GB2312" w:hAnsi="宋体"/>
          <w:bCs/>
          <w:color w:val="000000" w:themeColor="text1"/>
          <w:sz w:val="24"/>
        </w:rPr>
      </w:pPr>
    </w:p>
    <w:p w14:paraId="487AC71D" w14:textId="77777777" w:rsidR="002062AD" w:rsidRDefault="002062AD">
      <w:pPr>
        <w:rPr>
          <w:rFonts w:ascii="仿宋_GB2312" w:eastAsia="仿宋_GB2312" w:hAnsi="宋体" w:hint="eastAsia"/>
          <w:bCs/>
          <w:color w:val="000000" w:themeColor="text1"/>
          <w:sz w:val="24"/>
        </w:rPr>
      </w:pPr>
    </w:p>
    <w:p w14:paraId="02D534ED" w14:textId="77777777" w:rsidR="002062AD" w:rsidRDefault="002062AD">
      <w:pPr>
        <w:rPr>
          <w:rFonts w:ascii="仿宋_GB2312" w:eastAsia="仿宋_GB2312" w:hAnsi="宋体" w:hint="eastAsia"/>
          <w:bCs/>
          <w:color w:val="000000" w:themeColor="text1"/>
          <w:sz w:val="24"/>
        </w:rPr>
      </w:pPr>
    </w:p>
    <w:tbl>
      <w:tblPr>
        <w:tblW w:w="8336" w:type="dxa"/>
        <w:tblLayout w:type="fixed"/>
        <w:tblCellMar>
          <w:left w:w="0" w:type="dxa"/>
          <w:right w:w="0" w:type="dxa"/>
        </w:tblCellMar>
        <w:tblLook w:val="04A0" w:firstRow="1" w:lastRow="0" w:firstColumn="1" w:lastColumn="0" w:noHBand="0" w:noVBand="1"/>
      </w:tblPr>
      <w:tblGrid>
        <w:gridCol w:w="1858"/>
        <w:gridCol w:w="6176"/>
        <w:gridCol w:w="302"/>
      </w:tblGrid>
      <w:tr w:rsidR="00E22223" w14:paraId="2AE71635" w14:textId="77777777">
        <w:trPr>
          <w:trHeight w:val="285"/>
        </w:trPr>
        <w:tc>
          <w:tcPr>
            <w:tcW w:w="8336" w:type="dxa"/>
            <w:gridSpan w:val="3"/>
            <w:tcBorders>
              <w:top w:val="nil"/>
              <w:left w:val="nil"/>
              <w:bottom w:val="nil"/>
              <w:right w:val="nil"/>
            </w:tcBorders>
            <w:tcMar>
              <w:top w:w="15" w:type="dxa"/>
              <w:left w:w="15" w:type="dxa"/>
              <w:bottom w:w="0" w:type="dxa"/>
              <w:right w:w="15" w:type="dxa"/>
            </w:tcMar>
            <w:vAlign w:val="center"/>
          </w:tcPr>
          <w:p w14:paraId="0B67DF1D" w14:textId="77777777" w:rsidR="00E22223" w:rsidRDefault="00000000">
            <w:pPr>
              <w:rPr>
                <w:rFonts w:ascii="仿宋_GB2312" w:eastAsia="仿宋_GB2312" w:hAnsi="宋体"/>
                <w:b/>
                <w:bCs/>
                <w:color w:val="000000" w:themeColor="text1"/>
                <w:sz w:val="28"/>
              </w:rPr>
            </w:pPr>
            <w:r>
              <w:rPr>
                <w:rFonts w:ascii="仿宋_GB2312" w:eastAsia="仿宋_GB2312" w:hAnsi="宋体"/>
                <w:bCs/>
                <w:color w:val="000000" w:themeColor="text1"/>
                <w:sz w:val="24"/>
              </w:rPr>
              <w:lastRenderedPageBreak/>
              <w:br w:type="page"/>
            </w:r>
            <w:r>
              <w:rPr>
                <w:rFonts w:ascii="仿宋_GB2312" w:eastAsia="仿宋_GB2312" w:hint="eastAsia"/>
                <w:b/>
                <w:bCs/>
                <w:color w:val="000000" w:themeColor="text1"/>
                <w:sz w:val="28"/>
              </w:rPr>
              <w:t>项目内容概述</w:t>
            </w:r>
            <w:r>
              <w:rPr>
                <w:rFonts w:ascii="仿宋_GB2312" w:eastAsia="仿宋_GB2312"/>
                <w:b/>
                <w:bCs/>
                <w:color w:val="000000" w:themeColor="text1"/>
                <w:sz w:val="28"/>
              </w:rPr>
              <w:t>（限200字以内）</w:t>
            </w:r>
          </w:p>
        </w:tc>
      </w:tr>
      <w:tr w:rsidR="00E22223" w14:paraId="37F942BC" w14:textId="77777777">
        <w:trPr>
          <w:trHeight w:val="4316"/>
        </w:trPr>
        <w:tc>
          <w:tcPr>
            <w:tcW w:w="8336" w:type="dxa"/>
            <w:gridSpan w:val="3"/>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tcPr>
          <w:p w14:paraId="7E4BAB58" w14:textId="77777777" w:rsidR="00E22223" w:rsidRDefault="00000000">
            <w:pPr>
              <w:ind w:rightChars="39" w:right="82" w:firstLineChars="200" w:firstLine="480"/>
              <w:rPr>
                <w:sz w:val="24"/>
              </w:rPr>
            </w:pPr>
            <w:r>
              <w:rPr>
                <w:rFonts w:hint="eastAsia"/>
                <w:sz w:val="24"/>
              </w:rPr>
              <w:t>在新冠疫情的持续发展下，为推动抗新冠病毒药物的开发设计，本项目拟开发融合</w:t>
            </w:r>
            <w:r>
              <w:rPr>
                <w:sz w:val="24"/>
              </w:rPr>
              <w:t>BERT</w:t>
            </w:r>
            <w:r>
              <w:rPr>
                <w:rFonts w:hint="eastAsia"/>
                <w:sz w:val="24"/>
              </w:rPr>
              <w:t>表示学习的抗新冠病毒药物预筛选模型。运用</w:t>
            </w:r>
            <w:r>
              <w:rPr>
                <w:rFonts w:hint="eastAsia"/>
                <w:sz w:val="24"/>
              </w:rPr>
              <w:t>Transformer</w:t>
            </w:r>
            <w:r>
              <w:rPr>
                <w:rFonts w:hint="eastAsia"/>
                <w:sz w:val="24"/>
              </w:rPr>
              <w:t>机制对药物和靶蛋白序列信息编码并进行节点表达，利用图卷积神经网络自动学习异构网络的邻域信息进行节点嵌入，最终筛选出对新冠肺炎治疗有用的药物，以期达到药物预测更高的准确性，为抗新冠病毒药物研发领域提供更加先进的工具与研究思路。</w:t>
            </w:r>
          </w:p>
        </w:tc>
      </w:tr>
      <w:tr w:rsidR="00E22223" w14:paraId="4FF48FB1" w14:textId="77777777">
        <w:trPr>
          <w:trHeight w:val="450"/>
        </w:trPr>
        <w:tc>
          <w:tcPr>
            <w:tcW w:w="8336" w:type="dxa"/>
            <w:gridSpan w:val="3"/>
            <w:tcBorders>
              <w:top w:val="nil"/>
              <w:left w:val="nil"/>
              <w:bottom w:val="nil"/>
              <w:right w:val="nil"/>
            </w:tcBorders>
            <w:tcMar>
              <w:top w:w="15" w:type="dxa"/>
              <w:left w:w="15" w:type="dxa"/>
              <w:bottom w:w="0" w:type="dxa"/>
              <w:right w:w="15" w:type="dxa"/>
            </w:tcMar>
            <w:vAlign w:val="center"/>
          </w:tcPr>
          <w:p w14:paraId="7081F232" w14:textId="77777777" w:rsidR="00E22223" w:rsidRDefault="00E22223">
            <w:pPr>
              <w:rPr>
                <w:rFonts w:ascii="仿宋_GB2312" w:eastAsia="仿宋_GB2312"/>
                <w:b/>
                <w:bCs/>
                <w:color w:val="000000" w:themeColor="text1"/>
                <w:sz w:val="28"/>
              </w:rPr>
            </w:pPr>
          </w:p>
          <w:p w14:paraId="44356871" w14:textId="77777777" w:rsidR="00E22223" w:rsidRDefault="00000000">
            <w:pPr>
              <w:rPr>
                <w:rFonts w:ascii="仿宋_GB2312" w:eastAsia="仿宋_GB2312" w:hAnsi="宋体"/>
                <w:b/>
                <w:bCs/>
                <w:color w:val="000000" w:themeColor="text1"/>
                <w:sz w:val="28"/>
              </w:rPr>
            </w:pPr>
            <w:r>
              <w:rPr>
                <w:rFonts w:ascii="仿宋_GB2312" w:eastAsia="仿宋_GB2312" w:hint="eastAsia"/>
                <w:b/>
                <w:bCs/>
                <w:color w:val="000000" w:themeColor="text1"/>
                <w:sz w:val="28"/>
              </w:rPr>
              <w:t>项目特色创新点概述（限</w:t>
            </w:r>
            <w:r>
              <w:rPr>
                <w:rFonts w:ascii="仿宋_GB2312" w:eastAsia="仿宋_GB2312"/>
                <w:b/>
                <w:bCs/>
                <w:color w:val="000000" w:themeColor="text1"/>
                <w:sz w:val="28"/>
              </w:rPr>
              <w:t>100字以内）</w:t>
            </w:r>
          </w:p>
        </w:tc>
      </w:tr>
      <w:tr w:rsidR="00E22223" w14:paraId="4FDE913A" w14:textId="77777777">
        <w:tc>
          <w:tcPr>
            <w:tcW w:w="8336" w:type="dxa"/>
            <w:gridSpan w:val="3"/>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tcPr>
          <w:p w14:paraId="74394E91" w14:textId="77777777" w:rsidR="00E22223" w:rsidRDefault="00E22223">
            <w:pPr>
              <w:pStyle w:val="af"/>
              <w:ind w:firstLine="480"/>
              <w:rPr>
                <w:sz w:val="24"/>
              </w:rPr>
            </w:pPr>
          </w:p>
          <w:p w14:paraId="558805A3" w14:textId="77777777" w:rsidR="00E22223" w:rsidRDefault="00E22223">
            <w:pPr>
              <w:pStyle w:val="af"/>
              <w:ind w:firstLine="480"/>
              <w:rPr>
                <w:sz w:val="24"/>
              </w:rPr>
            </w:pPr>
          </w:p>
          <w:p w14:paraId="5E4D2CE2" w14:textId="77777777" w:rsidR="00E22223" w:rsidRDefault="00E22223">
            <w:pPr>
              <w:pStyle w:val="af"/>
              <w:ind w:firstLine="480"/>
              <w:rPr>
                <w:sz w:val="24"/>
              </w:rPr>
            </w:pPr>
          </w:p>
          <w:p w14:paraId="51BFBECE" w14:textId="77777777" w:rsidR="00E22223" w:rsidRDefault="00E22223">
            <w:pPr>
              <w:pStyle w:val="af"/>
              <w:ind w:firstLine="480"/>
              <w:rPr>
                <w:sz w:val="24"/>
              </w:rPr>
            </w:pPr>
          </w:p>
          <w:p w14:paraId="4407C378" w14:textId="77777777" w:rsidR="00E22223" w:rsidRDefault="00000000">
            <w:pPr>
              <w:pStyle w:val="af"/>
              <w:ind w:firstLine="480"/>
              <w:rPr>
                <w:sz w:val="24"/>
              </w:rPr>
            </w:pPr>
            <w:r>
              <w:rPr>
                <w:rFonts w:hint="eastAsia"/>
                <w:sz w:val="24"/>
              </w:rPr>
              <w:t>1.</w:t>
            </w:r>
            <w:r>
              <w:rPr>
                <w:rFonts w:hint="eastAsia"/>
                <w:sz w:val="24"/>
              </w:rPr>
              <w:t>利用</w:t>
            </w:r>
            <w:r>
              <w:rPr>
                <w:rFonts w:hint="eastAsia"/>
                <w:sz w:val="24"/>
              </w:rPr>
              <w:t>B</w:t>
            </w:r>
            <w:r>
              <w:rPr>
                <w:sz w:val="24"/>
              </w:rPr>
              <w:t>ERT</w:t>
            </w:r>
            <w:r>
              <w:rPr>
                <w:rFonts w:hint="eastAsia"/>
                <w:sz w:val="24"/>
              </w:rPr>
              <w:t>模型的</w:t>
            </w:r>
            <w:r>
              <w:rPr>
                <w:rFonts w:hint="eastAsia"/>
                <w:sz w:val="24"/>
              </w:rPr>
              <w:t>Transformer</w:t>
            </w:r>
            <w:r>
              <w:rPr>
                <w:rFonts w:hint="eastAsia"/>
                <w:sz w:val="24"/>
              </w:rPr>
              <w:t>编码药物和靶点分子，提高全局性，减小计算复杂度。</w:t>
            </w:r>
          </w:p>
          <w:p w14:paraId="78E2BC3D" w14:textId="77777777" w:rsidR="00E22223" w:rsidRDefault="00000000">
            <w:pPr>
              <w:pStyle w:val="af"/>
              <w:ind w:firstLine="480"/>
              <w:rPr>
                <w:sz w:val="24"/>
              </w:rPr>
            </w:pPr>
            <w:r>
              <w:rPr>
                <w:rFonts w:hint="eastAsia"/>
                <w:sz w:val="24"/>
              </w:rPr>
              <w:t>2.</w:t>
            </w:r>
            <w:r>
              <w:rPr>
                <w:rFonts w:hint="eastAsia"/>
                <w:sz w:val="24"/>
              </w:rPr>
              <w:t>图卷积网络结合注意力机制，充分利用分子领域信息，获得更多可解释的节点嵌入。</w:t>
            </w:r>
          </w:p>
          <w:p w14:paraId="2D5C74B6" w14:textId="77777777" w:rsidR="00E22223" w:rsidRDefault="00E22223">
            <w:pPr>
              <w:pStyle w:val="af"/>
              <w:ind w:firstLine="480"/>
              <w:rPr>
                <w:sz w:val="24"/>
              </w:rPr>
            </w:pPr>
          </w:p>
          <w:p w14:paraId="4EF62A08" w14:textId="77777777" w:rsidR="00E22223" w:rsidRDefault="00E22223">
            <w:pPr>
              <w:pStyle w:val="af"/>
              <w:ind w:firstLine="480"/>
              <w:rPr>
                <w:sz w:val="24"/>
              </w:rPr>
            </w:pPr>
          </w:p>
          <w:p w14:paraId="54B74C6C" w14:textId="77777777" w:rsidR="00E22223" w:rsidRDefault="00E22223">
            <w:pPr>
              <w:pStyle w:val="af"/>
              <w:ind w:firstLine="480"/>
              <w:rPr>
                <w:sz w:val="24"/>
              </w:rPr>
            </w:pPr>
          </w:p>
          <w:p w14:paraId="16FBAB12" w14:textId="77777777" w:rsidR="00E22223" w:rsidRDefault="00E22223">
            <w:pPr>
              <w:rPr>
                <w:sz w:val="24"/>
              </w:rPr>
            </w:pPr>
          </w:p>
        </w:tc>
      </w:tr>
      <w:tr w:rsidR="00E22223" w14:paraId="62CD6824" w14:textId="77777777">
        <w:trPr>
          <w:trHeight w:val="450"/>
        </w:trPr>
        <w:tc>
          <w:tcPr>
            <w:tcW w:w="8034" w:type="dxa"/>
            <w:gridSpan w:val="2"/>
            <w:tcBorders>
              <w:top w:val="nil"/>
              <w:left w:val="nil"/>
              <w:bottom w:val="nil"/>
              <w:right w:val="nil"/>
            </w:tcBorders>
            <w:tcMar>
              <w:top w:w="15" w:type="dxa"/>
              <w:left w:w="15" w:type="dxa"/>
              <w:bottom w:w="0" w:type="dxa"/>
              <w:right w:w="15" w:type="dxa"/>
            </w:tcMar>
            <w:vAlign w:val="center"/>
          </w:tcPr>
          <w:p w14:paraId="74669290" w14:textId="0D4005A8" w:rsidR="002062AD" w:rsidRDefault="002062AD">
            <w:pPr>
              <w:spacing w:line="360" w:lineRule="auto"/>
              <w:rPr>
                <w:rFonts w:ascii="仿宋_GB2312" w:eastAsia="仿宋_GB2312"/>
                <w:b/>
                <w:bCs/>
                <w:color w:val="000000" w:themeColor="text1"/>
                <w:sz w:val="28"/>
              </w:rPr>
            </w:pPr>
          </w:p>
          <w:p w14:paraId="6C25BAA5" w14:textId="7E764A1E" w:rsidR="002062AD" w:rsidRDefault="002062AD">
            <w:pPr>
              <w:spacing w:line="360" w:lineRule="auto"/>
              <w:rPr>
                <w:rFonts w:ascii="仿宋_GB2312" w:eastAsia="仿宋_GB2312"/>
                <w:b/>
                <w:bCs/>
                <w:color w:val="000000" w:themeColor="text1"/>
                <w:sz w:val="28"/>
              </w:rPr>
            </w:pPr>
          </w:p>
          <w:p w14:paraId="1B065C9C" w14:textId="5E1B7BF3" w:rsidR="002062AD" w:rsidRDefault="002062AD">
            <w:pPr>
              <w:spacing w:line="360" w:lineRule="auto"/>
              <w:rPr>
                <w:rFonts w:ascii="仿宋_GB2312" w:eastAsia="仿宋_GB2312"/>
                <w:b/>
                <w:bCs/>
                <w:color w:val="000000" w:themeColor="text1"/>
                <w:sz w:val="28"/>
              </w:rPr>
            </w:pPr>
          </w:p>
          <w:p w14:paraId="5F6F0AB8" w14:textId="41FB0ED5" w:rsidR="002062AD" w:rsidRDefault="002062AD">
            <w:pPr>
              <w:spacing w:line="360" w:lineRule="auto"/>
              <w:rPr>
                <w:rFonts w:ascii="仿宋_GB2312" w:eastAsia="仿宋_GB2312"/>
                <w:b/>
                <w:bCs/>
                <w:color w:val="000000" w:themeColor="text1"/>
                <w:sz w:val="28"/>
              </w:rPr>
            </w:pPr>
          </w:p>
          <w:p w14:paraId="5774E0FC" w14:textId="39E81B0F" w:rsidR="002062AD" w:rsidRDefault="002062AD">
            <w:pPr>
              <w:spacing w:line="360" w:lineRule="auto"/>
              <w:rPr>
                <w:rFonts w:ascii="仿宋_GB2312" w:eastAsia="仿宋_GB2312"/>
                <w:b/>
                <w:bCs/>
                <w:color w:val="000000" w:themeColor="text1"/>
                <w:sz w:val="28"/>
              </w:rPr>
            </w:pPr>
          </w:p>
          <w:p w14:paraId="1862DD6D" w14:textId="23D5634F" w:rsidR="002062AD" w:rsidRDefault="002062AD">
            <w:pPr>
              <w:spacing w:line="360" w:lineRule="auto"/>
              <w:rPr>
                <w:rFonts w:ascii="仿宋_GB2312" w:eastAsia="仿宋_GB2312"/>
                <w:b/>
                <w:bCs/>
                <w:color w:val="000000" w:themeColor="text1"/>
                <w:sz w:val="28"/>
              </w:rPr>
            </w:pPr>
          </w:p>
          <w:p w14:paraId="4C4F96D4" w14:textId="245A27A5" w:rsidR="002062AD" w:rsidRDefault="002062AD">
            <w:pPr>
              <w:spacing w:line="360" w:lineRule="auto"/>
              <w:rPr>
                <w:rFonts w:ascii="仿宋_GB2312" w:eastAsia="仿宋_GB2312"/>
                <w:b/>
                <w:bCs/>
                <w:color w:val="000000" w:themeColor="text1"/>
                <w:sz w:val="28"/>
              </w:rPr>
            </w:pPr>
          </w:p>
          <w:p w14:paraId="31AFBC9C" w14:textId="77777777" w:rsidR="002062AD" w:rsidRDefault="002062AD">
            <w:pPr>
              <w:spacing w:line="360" w:lineRule="auto"/>
              <w:rPr>
                <w:rFonts w:ascii="仿宋_GB2312" w:eastAsia="仿宋_GB2312" w:hint="eastAsia"/>
                <w:b/>
                <w:bCs/>
                <w:color w:val="000000" w:themeColor="text1"/>
                <w:sz w:val="28"/>
              </w:rPr>
            </w:pPr>
          </w:p>
          <w:p w14:paraId="2473E5B5" w14:textId="77777777" w:rsidR="002062AD" w:rsidRDefault="002062AD">
            <w:pPr>
              <w:spacing w:line="360" w:lineRule="auto"/>
              <w:rPr>
                <w:rFonts w:ascii="仿宋_GB2312" w:eastAsia="仿宋_GB2312" w:hint="eastAsia"/>
                <w:b/>
                <w:bCs/>
                <w:color w:val="000000" w:themeColor="text1"/>
                <w:sz w:val="28"/>
              </w:rPr>
            </w:pPr>
          </w:p>
          <w:p w14:paraId="3DE0A375" w14:textId="77777777" w:rsidR="00E22223" w:rsidRDefault="00000000">
            <w:pPr>
              <w:spacing w:line="360" w:lineRule="auto"/>
              <w:rPr>
                <w:rFonts w:ascii="仿宋_GB2312" w:eastAsia="仿宋_GB2312"/>
                <w:b/>
                <w:bCs/>
                <w:color w:val="000000" w:themeColor="text1"/>
                <w:sz w:val="28"/>
              </w:rPr>
            </w:pPr>
            <w:r>
              <w:rPr>
                <w:rFonts w:ascii="仿宋_GB2312" w:eastAsia="仿宋_GB2312" w:hint="eastAsia"/>
                <w:b/>
                <w:bCs/>
                <w:color w:val="000000" w:themeColor="text1"/>
                <w:sz w:val="28"/>
              </w:rPr>
              <w:lastRenderedPageBreak/>
              <w:t>项目成熟度评估（项目成熟度请参考附件《项目成熟度量表》）</w:t>
            </w:r>
          </w:p>
          <w:tbl>
            <w:tblPr>
              <w:tblStyle w:val="ad"/>
              <w:tblpPr w:leftFromText="180" w:rightFromText="180" w:vertAnchor="text" w:horzAnchor="margin" w:tblpY="146"/>
              <w:tblOverlap w:val="never"/>
              <w:tblW w:w="8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83"/>
            </w:tblGrid>
            <w:tr w:rsidR="00E22223" w14:paraId="26C21D10" w14:textId="77777777">
              <w:trPr>
                <w:trHeight w:val="3142"/>
              </w:trPr>
              <w:tc>
                <w:tcPr>
                  <w:tcW w:w="8283" w:type="dxa"/>
                  <w:tcBorders>
                    <w:bottom w:val="nil"/>
                  </w:tcBorders>
                </w:tcPr>
                <w:p w14:paraId="6DEB9ECF" w14:textId="77777777" w:rsidR="00E22223" w:rsidRDefault="00000000">
                  <w:pPr>
                    <w:pBdr>
                      <w:top w:val="single" w:sz="4" w:space="1" w:color="auto"/>
                      <w:left w:val="single" w:sz="4" w:space="4" w:color="auto"/>
                      <w:bottom w:val="single" w:sz="4" w:space="1" w:color="auto"/>
                      <w:right w:val="single" w:sz="4" w:space="4" w:color="auto"/>
                    </w:pBdr>
                    <w:jc w:val="left"/>
                    <w:rPr>
                      <w:rFonts w:ascii="仿宋_GB2312" w:eastAsia="仿宋_GB2312" w:hAnsi="宋体"/>
                      <w:bCs/>
                      <w:color w:val="000000" w:themeColor="text1"/>
                      <w:sz w:val="28"/>
                    </w:rPr>
                  </w:pPr>
                  <w:r>
                    <w:rPr>
                      <w:rFonts w:ascii="仿宋_GB2312" w:eastAsia="仿宋_GB2312" w:hAnsi="宋体" w:hint="eastAsia"/>
                      <w:bCs/>
                      <w:color w:val="000000" w:themeColor="text1"/>
                      <w:sz w:val="28"/>
                    </w:rPr>
                    <w:t>目前项目成熟度自评估为</w:t>
                  </w:r>
                  <w:r>
                    <w:rPr>
                      <w:rFonts w:ascii="仿宋_GB2312" w:eastAsia="仿宋_GB2312" w:hAnsi="宋体" w:hint="eastAsia"/>
                      <w:bCs/>
                      <w:color w:val="000000" w:themeColor="text1"/>
                      <w:sz w:val="28"/>
                      <w:u w:val="single"/>
                    </w:rPr>
                    <w:t xml:space="preserve">  3 </w:t>
                  </w:r>
                  <w:r>
                    <w:rPr>
                      <w:rFonts w:ascii="仿宋_GB2312" w:eastAsia="仿宋_GB2312" w:hAnsi="宋体" w:hint="eastAsia"/>
                      <w:bCs/>
                      <w:color w:val="000000" w:themeColor="text1"/>
                      <w:sz w:val="28"/>
                    </w:rPr>
                    <w:t>级；</w:t>
                  </w:r>
                </w:p>
                <w:p w14:paraId="03386D34" w14:textId="77777777" w:rsidR="00E22223" w:rsidRDefault="00000000">
                  <w:pPr>
                    <w:pBdr>
                      <w:top w:val="single" w:sz="4" w:space="1" w:color="auto"/>
                      <w:left w:val="single" w:sz="4" w:space="4" w:color="auto"/>
                      <w:bottom w:val="single" w:sz="4" w:space="1" w:color="auto"/>
                      <w:right w:val="single" w:sz="4" w:space="4" w:color="auto"/>
                    </w:pBdr>
                    <w:jc w:val="left"/>
                    <w:rPr>
                      <w:rFonts w:ascii="仿宋_GB2312" w:eastAsia="仿宋_GB2312" w:hAnsi="宋体"/>
                      <w:bCs/>
                      <w:color w:val="000000" w:themeColor="text1"/>
                      <w:sz w:val="28"/>
                    </w:rPr>
                  </w:pPr>
                  <w:r>
                    <w:rPr>
                      <w:rFonts w:ascii="仿宋_GB2312" w:eastAsia="仿宋_GB2312" w:hAnsi="宋体" w:hint="eastAsia"/>
                      <w:bCs/>
                      <w:color w:val="000000" w:themeColor="text1"/>
                      <w:sz w:val="28"/>
                    </w:rPr>
                    <w:t>预期结题时项目成熟度达到</w:t>
                  </w:r>
                  <w:r>
                    <w:rPr>
                      <w:rFonts w:ascii="仿宋_GB2312" w:eastAsia="仿宋_GB2312" w:hAnsi="宋体" w:hint="eastAsia"/>
                      <w:bCs/>
                      <w:color w:val="000000" w:themeColor="text1"/>
                      <w:sz w:val="28"/>
                      <w:u w:val="single"/>
                    </w:rPr>
                    <w:t xml:space="preserve">  9 </w:t>
                  </w:r>
                  <w:r>
                    <w:rPr>
                      <w:rFonts w:ascii="仿宋_GB2312" w:eastAsia="仿宋_GB2312" w:hAnsi="宋体" w:hint="eastAsia"/>
                      <w:bCs/>
                      <w:color w:val="000000" w:themeColor="text1"/>
                      <w:sz w:val="28"/>
                    </w:rPr>
                    <w:t>级。</w:t>
                  </w:r>
                </w:p>
              </w:tc>
            </w:tr>
          </w:tbl>
          <w:p w14:paraId="7FE1B8FE" w14:textId="77777777" w:rsidR="00E22223" w:rsidRDefault="00E22223">
            <w:pPr>
              <w:rPr>
                <w:rFonts w:ascii="仿宋_GB2312" w:eastAsia="仿宋_GB2312" w:hAnsi="宋体"/>
                <w:b/>
                <w:bCs/>
                <w:color w:val="000000" w:themeColor="text1"/>
                <w:sz w:val="28"/>
              </w:rPr>
            </w:pPr>
          </w:p>
        </w:tc>
        <w:tc>
          <w:tcPr>
            <w:tcW w:w="302" w:type="dxa"/>
            <w:tcBorders>
              <w:top w:val="nil"/>
              <w:left w:val="nil"/>
              <w:bottom w:val="nil"/>
              <w:right w:val="nil"/>
            </w:tcBorders>
            <w:tcMar>
              <w:top w:w="15" w:type="dxa"/>
              <w:left w:w="15" w:type="dxa"/>
              <w:bottom w:w="0" w:type="dxa"/>
              <w:right w:w="15" w:type="dxa"/>
            </w:tcMar>
            <w:vAlign w:val="center"/>
          </w:tcPr>
          <w:p w14:paraId="1182D260" w14:textId="77777777" w:rsidR="00E22223" w:rsidRDefault="00E22223">
            <w:pPr>
              <w:rPr>
                <w:rFonts w:ascii="仿宋_GB2312" w:eastAsia="仿宋_GB2312" w:hAnsi="宋体"/>
                <w:b/>
                <w:bCs/>
                <w:color w:val="000000" w:themeColor="text1"/>
                <w:sz w:val="28"/>
              </w:rPr>
            </w:pPr>
          </w:p>
        </w:tc>
      </w:tr>
      <w:tr w:rsidR="00E22223" w14:paraId="7AF8AA2A" w14:textId="77777777">
        <w:trPr>
          <w:trHeight w:val="285"/>
        </w:trPr>
        <w:tc>
          <w:tcPr>
            <w:tcW w:w="8336" w:type="dxa"/>
            <w:gridSpan w:val="3"/>
            <w:tcBorders>
              <w:top w:val="nil"/>
              <w:left w:val="nil"/>
              <w:bottom w:val="nil"/>
              <w:right w:val="nil"/>
            </w:tcBorders>
            <w:tcMar>
              <w:top w:w="15" w:type="dxa"/>
              <w:left w:w="15" w:type="dxa"/>
              <w:bottom w:w="0" w:type="dxa"/>
              <w:right w:w="15" w:type="dxa"/>
            </w:tcMar>
            <w:vAlign w:val="center"/>
          </w:tcPr>
          <w:p w14:paraId="7D2120EA" w14:textId="77777777" w:rsidR="00E22223" w:rsidRDefault="00000000">
            <w:pPr>
              <w:rPr>
                <w:rFonts w:ascii="仿宋_GB2312" w:eastAsia="仿宋_GB2312"/>
                <w:b/>
                <w:bCs/>
                <w:color w:val="000000" w:themeColor="text1"/>
                <w:sz w:val="28"/>
              </w:rPr>
            </w:pPr>
            <w:r>
              <w:rPr>
                <w:rFonts w:ascii="仿宋_GB2312" w:eastAsia="仿宋_GB2312" w:hint="eastAsia"/>
                <w:b/>
                <w:bCs/>
                <w:color w:val="000000" w:themeColor="text1"/>
                <w:sz w:val="28"/>
              </w:rPr>
              <w:t>项目组成员分工</w:t>
            </w:r>
          </w:p>
        </w:tc>
      </w:tr>
      <w:tr w:rsidR="00E22223" w14:paraId="5740B85B" w14:textId="77777777">
        <w:trPr>
          <w:trHeight w:val="285"/>
        </w:trPr>
        <w:tc>
          <w:tcPr>
            <w:tcW w:w="185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0A50286" w14:textId="77777777" w:rsidR="00E22223" w:rsidRDefault="00000000">
            <w:pPr>
              <w:jc w:val="center"/>
              <w:rPr>
                <w:rFonts w:ascii="仿宋_GB2312" w:eastAsia="仿宋_GB2312" w:hAnsi="宋体"/>
                <w:b/>
                <w:bCs/>
                <w:color w:val="000000" w:themeColor="text1"/>
                <w:sz w:val="28"/>
              </w:rPr>
            </w:pPr>
            <w:r>
              <w:rPr>
                <w:rFonts w:ascii="仿宋_GB2312" w:eastAsia="仿宋_GB2312" w:hint="eastAsia"/>
                <w:b/>
                <w:bCs/>
                <w:color w:val="000000" w:themeColor="text1"/>
                <w:sz w:val="28"/>
              </w:rPr>
              <w:t>姓名</w:t>
            </w:r>
          </w:p>
        </w:tc>
        <w:tc>
          <w:tcPr>
            <w:tcW w:w="6478"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55E8C7F" w14:textId="77777777" w:rsidR="00E22223" w:rsidRDefault="00000000">
            <w:pPr>
              <w:jc w:val="center"/>
              <w:rPr>
                <w:rFonts w:ascii="仿宋_GB2312" w:eastAsia="仿宋_GB2312" w:hAnsi="宋体"/>
                <w:b/>
                <w:bCs/>
                <w:color w:val="000000" w:themeColor="text1"/>
                <w:sz w:val="28"/>
              </w:rPr>
            </w:pPr>
            <w:r>
              <w:rPr>
                <w:rFonts w:ascii="仿宋_GB2312" w:eastAsia="仿宋_GB2312" w:hint="eastAsia"/>
                <w:b/>
                <w:bCs/>
                <w:color w:val="000000" w:themeColor="text1"/>
                <w:sz w:val="28"/>
              </w:rPr>
              <w:t>承担工作内容</w:t>
            </w:r>
          </w:p>
        </w:tc>
      </w:tr>
      <w:tr w:rsidR="00E22223" w14:paraId="748EC246" w14:textId="77777777">
        <w:trPr>
          <w:trHeight w:val="461"/>
        </w:trPr>
        <w:tc>
          <w:tcPr>
            <w:tcW w:w="18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8ED5B30" w14:textId="77777777" w:rsidR="00E22223" w:rsidRDefault="00000000">
            <w:pPr>
              <w:jc w:val="center"/>
              <w:rPr>
                <w:rFonts w:ascii="仿宋_GB2312" w:eastAsia="仿宋_GB2312" w:hAnsi="宋体"/>
                <w:b/>
                <w:bCs/>
                <w:color w:val="000000" w:themeColor="text1"/>
                <w:sz w:val="28"/>
              </w:rPr>
            </w:pPr>
            <w:r>
              <w:rPr>
                <w:rFonts w:ascii="仿宋_GB2312" w:eastAsia="仿宋_GB2312" w:hAnsi="宋体" w:hint="eastAsia"/>
                <w:b/>
                <w:bCs/>
                <w:color w:val="000000" w:themeColor="text1"/>
                <w:sz w:val="28"/>
              </w:rPr>
              <w:t>马书晗</w:t>
            </w:r>
          </w:p>
        </w:tc>
        <w:tc>
          <w:tcPr>
            <w:tcW w:w="6478" w:type="dxa"/>
            <w:gridSpan w:val="2"/>
            <w:tcBorders>
              <w:top w:val="nil"/>
              <w:left w:val="nil"/>
              <w:bottom w:val="single" w:sz="4" w:space="0" w:color="auto"/>
              <w:right w:val="single" w:sz="4" w:space="0" w:color="auto"/>
            </w:tcBorders>
            <w:tcMar>
              <w:top w:w="15" w:type="dxa"/>
              <w:left w:w="15" w:type="dxa"/>
              <w:bottom w:w="0" w:type="dxa"/>
              <w:right w:w="15" w:type="dxa"/>
            </w:tcMar>
            <w:vAlign w:val="center"/>
          </w:tcPr>
          <w:p w14:paraId="74D0425C" w14:textId="77777777" w:rsidR="00E22223" w:rsidRDefault="00000000">
            <w:pPr>
              <w:jc w:val="center"/>
              <w:rPr>
                <w:rFonts w:ascii="仿宋_GB2312" w:eastAsia="仿宋_GB2312" w:hAnsi="宋体"/>
                <w:b/>
                <w:bCs/>
                <w:color w:val="000000" w:themeColor="text1"/>
                <w:sz w:val="28"/>
              </w:rPr>
            </w:pPr>
            <w:r>
              <w:rPr>
                <w:rFonts w:ascii="仿宋_GB2312" w:eastAsia="仿宋_GB2312" w:hAnsi="宋体" w:hint="eastAsia"/>
                <w:b/>
                <w:bCs/>
                <w:color w:val="000000" w:themeColor="text1"/>
                <w:sz w:val="28"/>
              </w:rPr>
              <w:t>申报书撰写，技术路线算法设计，深度学习模型建立、模型训练与验证</w:t>
            </w:r>
          </w:p>
        </w:tc>
      </w:tr>
      <w:tr w:rsidR="00E22223" w14:paraId="1597B3D7" w14:textId="77777777">
        <w:trPr>
          <w:trHeight w:val="285"/>
        </w:trPr>
        <w:tc>
          <w:tcPr>
            <w:tcW w:w="18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3BFE534" w14:textId="77777777" w:rsidR="00E22223" w:rsidRDefault="00000000">
            <w:pPr>
              <w:jc w:val="center"/>
              <w:rPr>
                <w:rFonts w:ascii="仿宋_GB2312" w:eastAsia="仿宋_GB2312" w:hAnsi="宋体"/>
                <w:b/>
                <w:bCs/>
                <w:color w:val="000000" w:themeColor="text1"/>
                <w:sz w:val="28"/>
              </w:rPr>
            </w:pPr>
            <w:r>
              <w:rPr>
                <w:rFonts w:ascii="仿宋_GB2312" w:eastAsia="仿宋_GB2312" w:hAnsi="宋体" w:hint="eastAsia"/>
                <w:b/>
                <w:bCs/>
                <w:color w:val="000000" w:themeColor="text1"/>
                <w:sz w:val="28"/>
              </w:rPr>
              <w:t>李嘉钰</w:t>
            </w:r>
          </w:p>
        </w:tc>
        <w:tc>
          <w:tcPr>
            <w:tcW w:w="6478" w:type="dxa"/>
            <w:gridSpan w:val="2"/>
            <w:tcBorders>
              <w:top w:val="nil"/>
              <w:left w:val="nil"/>
              <w:bottom w:val="single" w:sz="4" w:space="0" w:color="auto"/>
              <w:right w:val="single" w:sz="4" w:space="0" w:color="auto"/>
            </w:tcBorders>
            <w:tcMar>
              <w:top w:w="15" w:type="dxa"/>
              <w:left w:w="15" w:type="dxa"/>
              <w:bottom w:w="0" w:type="dxa"/>
              <w:right w:w="15" w:type="dxa"/>
            </w:tcMar>
            <w:vAlign w:val="center"/>
          </w:tcPr>
          <w:p w14:paraId="13C8B36A" w14:textId="77777777" w:rsidR="00E22223" w:rsidRDefault="00000000">
            <w:pPr>
              <w:jc w:val="center"/>
              <w:rPr>
                <w:rFonts w:ascii="仿宋_GB2312" w:eastAsia="仿宋_GB2312" w:hAnsi="宋体"/>
                <w:b/>
                <w:bCs/>
                <w:color w:val="000000" w:themeColor="text1"/>
                <w:sz w:val="28"/>
              </w:rPr>
            </w:pPr>
            <w:r>
              <w:rPr>
                <w:rFonts w:ascii="仿宋_GB2312" w:eastAsia="仿宋_GB2312" w:hAnsi="宋体" w:hint="eastAsia"/>
                <w:b/>
                <w:bCs/>
                <w:color w:val="000000" w:themeColor="text1"/>
                <w:sz w:val="28"/>
              </w:rPr>
              <w:t>查找文献资料，技术路线算法设计，模型训练与验证</w:t>
            </w:r>
          </w:p>
        </w:tc>
      </w:tr>
      <w:tr w:rsidR="00E22223" w14:paraId="5667BA84" w14:textId="77777777">
        <w:trPr>
          <w:trHeight w:val="285"/>
        </w:trPr>
        <w:tc>
          <w:tcPr>
            <w:tcW w:w="18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7DAF9C5" w14:textId="77777777" w:rsidR="00E22223" w:rsidRDefault="00000000">
            <w:pPr>
              <w:jc w:val="center"/>
              <w:rPr>
                <w:rFonts w:ascii="仿宋_GB2312" w:eastAsia="仿宋_GB2312" w:hAnsi="宋体"/>
                <w:b/>
                <w:bCs/>
                <w:color w:val="000000" w:themeColor="text1"/>
                <w:sz w:val="28"/>
              </w:rPr>
            </w:pPr>
            <w:r>
              <w:rPr>
                <w:rFonts w:ascii="仿宋_GB2312" w:eastAsia="仿宋_GB2312" w:hAnsi="宋体" w:hint="eastAsia"/>
                <w:b/>
                <w:bCs/>
                <w:color w:val="000000" w:themeColor="text1"/>
                <w:sz w:val="28"/>
              </w:rPr>
              <w:t>孙家盛</w:t>
            </w:r>
          </w:p>
        </w:tc>
        <w:tc>
          <w:tcPr>
            <w:tcW w:w="6478" w:type="dxa"/>
            <w:gridSpan w:val="2"/>
            <w:tcBorders>
              <w:top w:val="nil"/>
              <w:left w:val="nil"/>
              <w:bottom w:val="single" w:sz="4" w:space="0" w:color="auto"/>
              <w:right w:val="single" w:sz="4" w:space="0" w:color="auto"/>
            </w:tcBorders>
            <w:tcMar>
              <w:top w:w="15" w:type="dxa"/>
              <w:left w:w="15" w:type="dxa"/>
              <w:bottom w:w="0" w:type="dxa"/>
              <w:right w:w="15" w:type="dxa"/>
            </w:tcMar>
            <w:vAlign w:val="center"/>
          </w:tcPr>
          <w:p w14:paraId="26AD0363" w14:textId="77777777" w:rsidR="00E22223" w:rsidRDefault="00000000">
            <w:pPr>
              <w:jc w:val="center"/>
              <w:rPr>
                <w:rFonts w:ascii="仿宋_GB2312" w:eastAsia="仿宋_GB2312" w:hAnsi="宋体"/>
                <w:b/>
                <w:bCs/>
                <w:color w:val="000000" w:themeColor="text1"/>
                <w:sz w:val="28"/>
              </w:rPr>
            </w:pPr>
            <w:r>
              <w:rPr>
                <w:rFonts w:ascii="仿宋_GB2312" w:eastAsia="仿宋_GB2312" w:hAnsi="宋体" w:hint="eastAsia"/>
                <w:b/>
                <w:bCs/>
                <w:color w:val="000000" w:themeColor="text1"/>
                <w:sz w:val="28"/>
              </w:rPr>
              <w:t>查找文献资料，深度学习模型建立，数据收集及处理</w:t>
            </w:r>
          </w:p>
        </w:tc>
      </w:tr>
      <w:tr w:rsidR="00E22223" w14:paraId="006BAC60" w14:textId="77777777">
        <w:trPr>
          <w:trHeight w:val="285"/>
        </w:trPr>
        <w:tc>
          <w:tcPr>
            <w:tcW w:w="18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46B33B7" w14:textId="77777777" w:rsidR="00E22223" w:rsidRDefault="00000000">
            <w:pPr>
              <w:jc w:val="center"/>
              <w:rPr>
                <w:rFonts w:ascii="仿宋_GB2312" w:eastAsia="仿宋_GB2312" w:hAnsi="宋体"/>
                <w:b/>
                <w:bCs/>
                <w:color w:val="000000" w:themeColor="text1"/>
                <w:sz w:val="28"/>
              </w:rPr>
            </w:pPr>
            <w:r>
              <w:rPr>
                <w:rFonts w:ascii="仿宋_GB2312" w:eastAsia="仿宋_GB2312" w:hAnsi="宋体" w:hint="eastAsia"/>
                <w:b/>
                <w:bCs/>
                <w:color w:val="000000" w:themeColor="text1"/>
                <w:sz w:val="28"/>
              </w:rPr>
              <w:t>郑博文</w:t>
            </w:r>
          </w:p>
        </w:tc>
        <w:tc>
          <w:tcPr>
            <w:tcW w:w="6478" w:type="dxa"/>
            <w:gridSpan w:val="2"/>
            <w:tcBorders>
              <w:top w:val="nil"/>
              <w:left w:val="nil"/>
              <w:bottom w:val="single" w:sz="4" w:space="0" w:color="auto"/>
              <w:right w:val="single" w:sz="4" w:space="0" w:color="auto"/>
            </w:tcBorders>
            <w:tcMar>
              <w:top w:w="15" w:type="dxa"/>
              <w:left w:w="15" w:type="dxa"/>
              <w:bottom w:w="0" w:type="dxa"/>
              <w:right w:w="15" w:type="dxa"/>
            </w:tcMar>
            <w:vAlign w:val="center"/>
          </w:tcPr>
          <w:p w14:paraId="7FABE48B" w14:textId="77777777" w:rsidR="00E22223" w:rsidRDefault="00000000">
            <w:pPr>
              <w:jc w:val="center"/>
              <w:rPr>
                <w:rFonts w:ascii="仿宋_GB2312" w:eastAsia="仿宋_GB2312" w:hAnsi="宋体"/>
                <w:b/>
                <w:bCs/>
                <w:color w:val="000000" w:themeColor="text1"/>
                <w:sz w:val="28"/>
              </w:rPr>
            </w:pPr>
            <w:r>
              <w:rPr>
                <w:rFonts w:ascii="仿宋_GB2312" w:eastAsia="仿宋_GB2312" w:hAnsi="宋体" w:hint="eastAsia"/>
                <w:b/>
                <w:bCs/>
                <w:color w:val="000000" w:themeColor="text1"/>
                <w:sz w:val="28"/>
              </w:rPr>
              <w:t>查找文献资料，数据收集及处理，模型验证</w:t>
            </w:r>
          </w:p>
        </w:tc>
      </w:tr>
    </w:tbl>
    <w:p w14:paraId="3DC0865D" w14:textId="77777777" w:rsidR="00E22223" w:rsidRDefault="00E22223">
      <w:pPr>
        <w:jc w:val="left"/>
        <w:rPr>
          <w:color w:val="000000" w:themeColor="text1"/>
        </w:rPr>
      </w:pPr>
    </w:p>
    <w:p w14:paraId="1DEF6D10" w14:textId="77777777" w:rsidR="00E22223" w:rsidRDefault="00E22223">
      <w:pPr>
        <w:jc w:val="left"/>
        <w:rPr>
          <w:color w:val="000000" w:themeColor="text1"/>
        </w:rPr>
      </w:pPr>
    </w:p>
    <w:p w14:paraId="0537C480" w14:textId="77777777" w:rsidR="00E22223" w:rsidRDefault="00E22223">
      <w:pPr>
        <w:jc w:val="left"/>
        <w:rPr>
          <w:color w:val="000000" w:themeColor="text1"/>
        </w:rPr>
      </w:pPr>
    </w:p>
    <w:p w14:paraId="477A1321" w14:textId="77777777" w:rsidR="00E22223" w:rsidRDefault="00E22223">
      <w:pPr>
        <w:jc w:val="left"/>
        <w:rPr>
          <w:color w:val="000000" w:themeColor="text1"/>
        </w:rPr>
      </w:pPr>
    </w:p>
    <w:p w14:paraId="313CAE68" w14:textId="77777777" w:rsidR="00E22223" w:rsidRDefault="00E22223">
      <w:pPr>
        <w:jc w:val="left"/>
        <w:rPr>
          <w:color w:val="000000" w:themeColor="text1"/>
        </w:rPr>
      </w:pPr>
    </w:p>
    <w:p w14:paraId="7FFBA850" w14:textId="77777777" w:rsidR="00E22223" w:rsidRDefault="00E22223">
      <w:pPr>
        <w:jc w:val="left"/>
        <w:rPr>
          <w:color w:val="000000" w:themeColor="text1"/>
        </w:rPr>
      </w:pPr>
    </w:p>
    <w:p w14:paraId="747511C6" w14:textId="77777777" w:rsidR="00E22223" w:rsidRDefault="00E22223">
      <w:pPr>
        <w:jc w:val="left"/>
        <w:rPr>
          <w:color w:val="000000" w:themeColor="text1"/>
        </w:rPr>
      </w:pPr>
    </w:p>
    <w:p w14:paraId="4A37DDED" w14:textId="77777777" w:rsidR="00E22223" w:rsidRDefault="00E22223">
      <w:pPr>
        <w:jc w:val="left"/>
        <w:rPr>
          <w:color w:val="000000" w:themeColor="text1"/>
        </w:rPr>
      </w:pPr>
    </w:p>
    <w:p w14:paraId="5C49B6D2" w14:textId="77777777" w:rsidR="00E22223" w:rsidRDefault="00E22223">
      <w:pPr>
        <w:jc w:val="left"/>
        <w:rPr>
          <w:color w:val="000000" w:themeColor="text1"/>
        </w:rPr>
      </w:pPr>
    </w:p>
    <w:p w14:paraId="12F77B72" w14:textId="77777777" w:rsidR="00E22223" w:rsidRDefault="00E22223">
      <w:pPr>
        <w:jc w:val="left"/>
        <w:rPr>
          <w:color w:val="000000" w:themeColor="text1"/>
        </w:rPr>
      </w:pPr>
    </w:p>
    <w:p w14:paraId="3B478022" w14:textId="77777777" w:rsidR="00E22223" w:rsidRDefault="00E22223">
      <w:pPr>
        <w:jc w:val="left"/>
        <w:rPr>
          <w:color w:val="000000" w:themeColor="text1"/>
        </w:rPr>
      </w:pPr>
    </w:p>
    <w:p w14:paraId="410B6946" w14:textId="77777777" w:rsidR="00E22223" w:rsidRDefault="00E22223">
      <w:pPr>
        <w:jc w:val="left"/>
        <w:rPr>
          <w:color w:val="000000" w:themeColor="text1"/>
        </w:rPr>
      </w:pPr>
    </w:p>
    <w:p w14:paraId="6DD282DC" w14:textId="77777777" w:rsidR="00E22223" w:rsidRDefault="00E22223">
      <w:pPr>
        <w:jc w:val="left"/>
        <w:rPr>
          <w:color w:val="000000" w:themeColor="text1"/>
        </w:rPr>
      </w:pPr>
    </w:p>
    <w:p w14:paraId="3FF3295C" w14:textId="77777777" w:rsidR="00E22223" w:rsidRDefault="00E22223">
      <w:pPr>
        <w:jc w:val="left"/>
        <w:rPr>
          <w:color w:val="000000" w:themeColor="text1"/>
        </w:rPr>
      </w:pPr>
    </w:p>
    <w:p w14:paraId="6E867693" w14:textId="77777777" w:rsidR="00E22223" w:rsidRDefault="00E22223">
      <w:pPr>
        <w:jc w:val="left"/>
        <w:rPr>
          <w:color w:val="000000" w:themeColor="text1"/>
        </w:rPr>
      </w:pPr>
    </w:p>
    <w:p w14:paraId="377FE289" w14:textId="77777777" w:rsidR="00E22223" w:rsidRDefault="00E22223">
      <w:pPr>
        <w:jc w:val="left"/>
        <w:rPr>
          <w:color w:val="000000" w:themeColor="text1"/>
        </w:rPr>
      </w:pPr>
    </w:p>
    <w:p w14:paraId="4022626F" w14:textId="77777777" w:rsidR="00E22223" w:rsidRDefault="00E22223">
      <w:pPr>
        <w:jc w:val="left"/>
        <w:rPr>
          <w:color w:val="000000" w:themeColor="text1"/>
        </w:rPr>
      </w:pPr>
    </w:p>
    <w:p w14:paraId="02270CCD" w14:textId="77777777" w:rsidR="00E22223" w:rsidRDefault="00E22223">
      <w:pPr>
        <w:jc w:val="left"/>
        <w:rPr>
          <w:color w:val="000000" w:themeColor="text1"/>
        </w:rPr>
      </w:pPr>
    </w:p>
    <w:p w14:paraId="2F22CB19" w14:textId="77777777" w:rsidR="00E22223" w:rsidRDefault="00E22223">
      <w:pPr>
        <w:jc w:val="left"/>
        <w:rPr>
          <w:color w:val="000000" w:themeColor="text1"/>
        </w:rPr>
      </w:pPr>
    </w:p>
    <w:p w14:paraId="64D64185" w14:textId="77777777" w:rsidR="00E22223" w:rsidRDefault="00E22223">
      <w:pPr>
        <w:jc w:val="left"/>
        <w:rPr>
          <w:color w:val="000000" w:themeColor="text1"/>
        </w:rPr>
      </w:pPr>
    </w:p>
    <w:p w14:paraId="0A9C6815" w14:textId="77777777" w:rsidR="00E22223" w:rsidRDefault="00E22223">
      <w:pPr>
        <w:jc w:val="left"/>
        <w:rPr>
          <w:color w:val="000000" w:themeColor="text1"/>
        </w:rPr>
      </w:pPr>
    </w:p>
    <w:tbl>
      <w:tblPr>
        <w:tblW w:w="8295" w:type="dxa"/>
        <w:tblCellMar>
          <w:left w:w="0" w:type="dxa"/>
          <w:right w:w="0" w:type="dxa"/>
        </w:tblCellMar>
        <w:tblLook w:val="04A0" w:firstRow="1" w:lastRow="0" w:firstColumn="1" w:lastColumn="0" w:noHBand="0" w:noVBand="1"/>
      </w:tblPr>
      <w:tblGrid>
        <w:gridCol w:w="8295"/>
      </w:tblGrid>
      <w:tr w:rsidR="00E22223" w14:paraId="2EE0A304" w14:textId="77777777">
        <w:trPr>
          <w:trHeight w:val="570"/>
        </w:trPr>
        <w:tc>
          <w:tcPr>
            <w:tcW w:w="8295" w:type="dxa"/>
            <w:tcBorders>
              <w:top w:val="nil"/>
              <w:left w:val="nil"/>
              <w:bottom w:val="nil"/>
              <w:right w:val="nil"/>
            </w:tcBorders>
            <w:tcMar>
              <w:top w:w="15" w:type="dxa"/>
              <w:left w:w="15" w:type="dxa"/>
              <w:bottom w:w="0" w:type="dxa"/>
              <w:right w:w="15" w:type="dxa"/>
            </w:tcMar>
            <w:vAlign w:val="center"/>
          </w:tcPr>
          <w:p w14:paraId="2D519C29" w14:textId="77777777" w:rsidR="00E22223" w:rsidRDefault="00000000">
            <w:pPr>
              <w:spacing w:line="360" w:lineRule="exact"/>
              <w:rPr>
                <w:rFonts w:ascii="仿宋_GB2312" w:eastAsia="仿宋_GB2312" w:hAnsi="宋体"/>
                <w:b/>
                <w:bCs/>
                <w:color w:val="000000" w:themeColor="text1"/>
                <w:sz w:val="28"/>
              </w:rPr>
            </w:pPr>
            <w:r>
              <w:rPr>
                <w:color w:val="000000" w:themeColor="text1"/>
              </w:rPr>
              <w:lastRenderedPageBreak/>
              <w:br w:type="page"/>
            </w:r>
            <w:r>
              <w:rPr>
                <w:rFonts w:ascii="仿宋_GB2312" w:eastAsia="仿宋_GB2312"/>
                <w:b/>
                <w:bCs/>
                <w:color w:val="000000" w:themeColor="text1"/>
                <w:sz w:val="28"/>
              </w:rPr>
              <w:t>一、项目简介</w:t>
            </w:r>
            <w:r>
              <w:rPr>
                <w:rFonts w:ascii="仿宋_GB2312" w:eastAsia="仿宋_GB2312"/>
                <w:b/>
                <w:bCs/>
                <w:color w:val="000000" w:themeColor="text1"/>
                <w:sz w:val="24"/>
              </w:rPr>
              <w:t>（研究内容、目的意义、具体目标、国内外研究现状分析及评价等）</w:t>
            </w:r>
          </w:p>
        </w:tc>
      </w:tr>
      <w:tr w:rsidR="00E22223" w14:paraId="4D32CE33" w14:textId="77777777">
        <w:tc>
          <w:tcPr>
            <w:tcW w:w="8295" w:type="dxa"/>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tcPr>
          <w:p w14:paraId="7ADAAD49" w14:textId="77777777" w:rsidR="00E22223" w:rsidRDefault="00000000">
            <w:pPr>
              <w:pStyle w:val="af1"/>
              <w:numPr>
                <w:ilvl w:val="0"/>
                <w:numId w:val="2"/>
              </w:numPr>
            </w:pPr>
            <w:r>
              <w:rPr>
                <w:rFonts w:hint="eastAsia"/>
              </w:rPr>
              <w:t>研究背景</w:t>
            </w:r>
          </w:p>
          <w:p w14:paraId="3236CBBF" w14:textId="77777777" w:rsidR="00E22223" w:rsidRDefault="00000000">
            <w:pPr>
              <w:ind w:rightChars="21" w:right="44" w:firstLineChars="200" w:firstLine="480"/>
              <w:rPr>
                <w:sz w:val="24"/>
              </w:rPr>
            </w:pPr>
            <w:r>
              <w:rPr>
                <w:rFonts w:hint="eastAsia"/>
                <w:sz w:val="24"/>
              </w:rPr>
              <w:t>自从</w:t>
            </w:r>
            <w:r>
              <w:rPr>
                <w:rFonts w:hint="eastAsia"/>
                <w:sz w:val="24"/>
              </w:rPr>
              <w:t>2019</w:t>
            </w:r>
            <w:r>
              <w:rPr>
                <w:rFonts w:hint="eastAsia"/>
                <w:sz w:val="24"/>
              </w:rPr>
              <w:t>年底新型严重急性呼吸系统综合征冠状病毒（</w:t>
            </w:r>
            <w:r>
              <w:rPr>
                <w:rFonts w:hint="eastAsia"/>
                <w:sz w:val="24"/>
              </w:rPr>
              <w:t>SARS-CoV-2</w:t>
            </w:r>
            <w:r>
              <w:rPr>
                <w:rFonts w:hint="eastAsia"/>
                <w:sz w:val="24"/>
              </w:rPr>
              <w:t>）被发现，新型冠状病毒肺炎（</w:t>
            </w:r>
            <w:r>
              <w:rPr>
                <w:rFonts w:hint="eastAsia"/>
                <w:sz w:val="24"/>
              </w:rPr>
              <w:t>COVID-19</w:t>
            </w:r>
            <w:r>
              <w:rPr>
                <w:rFonts w:hint="eastAsia"/>
                <w:sz w:val="24"/>
              </w:rPr>
              <w:t>）已持续至今并导致全球持续性的大流行，奥密克戎（</w:t>
            </w:r>
            <w:r>
              <w:rPr>
                <w:rFonts w:hint="eastAsia"/>
                <w:sz w:val="24"/>
              </w:rPr>
              <w:t>Omicron</w:t>
            </w:r>
            <w:r>
              <w:rPr>
                <w:rFonts w:hint="eastAsia"/>
                <w:sz w:val="24"/>
              </w:rPr>
              <w:t>）等变异株的不断出现，全球疫情防控仍持续面临高压力。由于</w:t>
            </w:r>
            <w:r>
              <w:rPr>
                <w:rFonts w:hint="eastAsia"/>
                <w:sz w:val="24"/>
              </w:rPr>
              <w:t>COVID-19</w:t>
            </w:r>
            <w:r>
              <w:rPr>
                <w:rFonts w:hint="eastAsia"/>
                <w:sz w:val="24"/>
              </w:rPr>
              <w:t>的高感染率，病例和死亡人数仍在不断增加。目前累计已有超过</w:t>
            </w:r>
            <w:r>
              <w:rPr>
                <w:rFonts w:hint="eastAsia"/>
                <w:sz w:val="24"/>
              </w:rPr>
              <w:t>6</w:t>
            </w:r>
            <w:r>
              <w:rPr>
                <w:rFonts w:hint="eastAsia"/>
                <w:sz w:val="24"/>
              </w:rPr>
              <w:t>亿人次确诊感染，死亡人数超过</w:t>
            </w:r>
            <w:r>
              <w:rPr>
                <w:rFonts w:hint="eastAsia"/>
                <w:sz w:val="24"/>
              </w:rPr>
              <w:t>650</w:t>
            </w:r>
            <w:r>
              <w:rPr>
                <w:rFonts w:hint="eastAsia"/>
                <w:sz w:val="24"/>
              </w:rPr>
              <w:t>万。</w:t>
            </w:r>
          </w:p>
          <w:p w14:paraId="7B332C89" w14:textId="77777777" w:rsidR="00E22223" w:rsidRDefault="00000000">
            <w:pPr>
              <w:ind w:rightChars="21" w:right="44" w:firstLineChars="200" w:firstLine="480"/>
              <w:rPr>
                <w:sz w:val="24"/>
              </w:rPr>
            </w:pPr>
            <w:r>
              <w:rPr>
                <w:rFonts w:hint="eastAsia"/>
                <w:sz w:val="24"/>
              </w:rPr>
              <w:t>SARS-CoV-2</w:t>
            </w:r>
            <w:r>
              <w:rPr>
                <w:rFonts w:hint="eastAsia"/>
                <w:sz w:val="24"/>
              </w:rPr>
              <w:t>由基因组和包裹它的膜组成。它大致呈球状，突出的棒状表面突起代表其尖峰蛋白（</w:t>
            </w:r>
            <w:r>
              <w:rPr>
                <w:sz w:val="24"/>
              </w:rPr>
              <w:t>S</w:t>
            </w:r>
            <w:r>
              <w:rPr>
                <w:rFonts w:hint="eastAsia"/>
                <w:sz w:val="24"/>
              </w:rPr>
              <w:t>蛋白），具有“冠状”外观。这些尖峰是病毒入侵人体的工具。当刺激物接触到靶细胞时，</w:t>
            </w:r>
            <w:r>
              <w:rPr>
                <w:rFonts w:hint="eastAsia"/>
                <w:sz w:val="24"/>
              </w:rPr>
              <w:t>S</w:t>
            </w:r>
            <w:r>
              <w:rPr>
                <w:rFonts w:hint="eastAsia"/>
                <w:sz w:val="24"/>
              </w:rPr>
              <w:t>蛋白会附着到呼吸道细胞表面的血管紧张素转换酶</w:t>
            </w:r>
            <w:r>
              <w:rPr>
                <w:rFonts w:hint="eastAsia"/>
                <w:sz w:val="24"/>
              </w:rPr>
              <w:t>2</w:t>
            </w:r>
            <w:r>
              <w:rPr>
                <w:rFonts w:hint="eastAsia"/>
                <w:sz w:val="24"/>
              </w:rPr>
              <w:t>（</w:t>
            </w:r>
            <w:r>
              <w:rPr>
                <w:rFonts w:hint="eastAsia"/>
                <w:sz w:val="24"/>
              </w:rPr>
              <w:t>ACE2</w:t>
            </w:r>
            <w:r>
              <w:rPr>
                <w:rFonts w:hint="eastAsia"/>
                <w:sz w:val="24"/>
              </w:rPr>
              <w:t>）上，</w:t>
            </w:r>
            <w:r>
              <w:rPr>
                <w:rFonts w:hint="eastAsia"/>
                <w:sz w:val="24"/>
              </w:rPr>
              <w:t>ACE2</w:t>
            </w:r>
            <w:r>
              <w:rPr>
                <w:rFonts w:hint="eastAsia"/>
                <w:sz w:val="24"/>
              </w:rPr>
              <w:t>是一种参与血压调节的重要调节剂，触发</w:t>
            </w:r>
            <w:r>
              <w:rPr>
                <w:rFonts w:hint="eastAsia"/>
                <w:sz w:val="24"/>
              </w:rPr>
              <w:t>SARS-CoV-2</w:t>
            </w:r>
            <w:r>
              <w:rPr>
                <w:rFonts w:hint="eastAsia"/>
                <w:sz w:val="24"/>
              </w:rPr>
              <w:t>病毒的内吞作用并形成内体。内体囊使病毒能够逃脱免疫系统。在内体内，</w:t>
            </w:r>
            <w:r>
              <w:rPr>
                <w:rFonts w:hint="eastAsia"/>
                <w:sz w:val="24"/>
              </w:rPr>
              <w:t>S</w:t>
            </w:r>
            <w:r>
              <w:rPr>
                <w:rFonts w:hint="eastAsia"/>
                <w:sz w:val="24"/>
              </w:rPr>
              <w:t>蛋白可以被</w:t>
            </w:r>
            <w:r>
              <w:rPr>
                <w:rFonts w:hint="eastAsia"/>
                <w:sz w:val="24"/>
              </w:rPr>
              <w:t>S1/S2</w:t>
            </w:r>
            <w:r>
              <w:rPr>
                <w:rFonts w:hint="eastAsia"/>
                <w:sz w:val="24"/>
              </w:rPr>
              <w:t>位的原蛋白转换酶</w:t>
            </w:r>
            <w:r>
              <w:rPr>
                <w:rFonts w:hint="eastAsia"/>
                <w:sz w:val="24"/>
              </w:rPr>
              <w:t>Furin</w:t>
            </w:r>
            <w:r>
              <w:rPr>
                <w:rFonts w:hint="eastAsia"/>
                <w:sz w:val="24"/>
              </w:rPr>
              <w:t>和</w:t>
            </w:r>
            <w:r>
              <w:rPr>
                <w:rFonts w:hint="eastAsia"/>
                <w:sz w:val="24"/>
              </w:rPr>
              <w:t>S20</w:t>
            </w:r>
            <w:r>
              <w:rPr>
                <w:rFonts w:hint="eastAsia"/>
                <w:sz w:val="24"/>
              </w:rPr>
              <w:t>位的跨膜丝氨酸蛋白酶</w:t>
            </w:r>
            <w:r>
              <w:rPr>
                <w:rFonts w:hint="eastAsia"/>
                <w:sz w:val="24"/>
              </w:rPr>
              <w:t>2</w:t>
            </w:r>
            <w:r>
              <w:rPr>
                <w:rFonts w:hint="eastAsia"/>
                <w:sz w:val="24"/>
              </w:rPr>
              <w:t>（</w:t>
            </w:r>
            <w:r>
              <w:rPr>
                <w:rFonts w:hint="eastAsia"/>
                <w:sz w:val="24"/>
              </w:rPr>
              <w:t>TMPRSS2</w:t>
            </w:r>
            <w:r>
              <w:rPr>
                <w:rFonts w:hint="eastAsia"/>
                <w:sz w:val="24"/>
              </w:rPr>
              <w:t>）切割，从而使蛋白质能够重新折叠并改变其构象。新暴露的部分与内体膜融合并释放。病毒</w:t>
            </w:r>
            <w:r>
              <w:rPr>
                <w:rFonts w:hint="eastAsia"/>
                <w:sz w:val="24"/>
              </w:rPr>
              <w:t>RNA</w:t>
            </w:r>
            <w:r>
              <w:rPr>
                <w:rFonts w:hint="eastAsia"/>
                <w:sz w:val="24"/>
              </w:rPr>
              <w:t>在</w:t>
            </w:r>
            <w:r>
              <w:rPr>
                <w:rFonts w:hint="eastAsia"/>
                <w:sz w:val="24"/>
              </w:rPr>
              <w:t>3CL</w:t>
            </w:r>
            <w:r>
              <w:rPr>
                <w:rFonts w:hint="eastAsia"/>
                <w:sz w:val="24"/>
              </w:rPr>
              <w:t>蛋白的作用下被翻译成多肽，合成</w:t>
            </w:r>
            <w:r>
              <w:rPr>
                <w:rFonts w:hint="eastAsia"/>
                <w:sz w:val="24"/>
              </w:rPr>
              <w:t>RdRp</w:t>
            </w:r>
            <w:r>
              <w:rPr>
                <w:rFonts w:hint="eastAsia"/>
                <w:sz w:val="24"/>
              </w:rPr>
              <w:t>。</w:t>
            </w:r>
            <w:r>
              <w:rPr>
                <w:rFonts w:hint="eastAsia"/>
                <w:sz w:val="24"/>
              </w:rPr>
              <w:t>RdRp</w:t>
            </w:r>
            <w:r>
              <w:rPr>
                <w:rFonts w:hint="eastAsia"/>
                <w:sz w:val="24"/>
              </w:rPr>
              <w:t>是一种</w:t>
            </w:r>
            <w:r>
              <w:rPr>
                <w:rFonts w:hint="eastAsia"/>
                <w:sz w:val="24"/>
              </w:rPr>
              <w:t>RNA</w:t>
            </w:r>
            <w:r>
              <w:rPr>
                <w:rFonts w:hint="eastAsia"/>
                <w:sz w:val="24"/>
              </w:rPr>
              <w:t>聚合酶，允许</w:t>
            </w:r>
            <w:r>
              <w:rPr>
                <w:rFonts w:hint="eastAsia"/>
                <w:sz w:val="24"/>
              </w:rPr>
              <w:t>RNA</w:t>
            </w:r>
            <w:r>
              <w:rPr>
                <w:rFonts w:hint="eastAsia"/>
                <w:sz w:val="24"/>
              </w:rPr>
              <w:t>在体内复制。与此同时，随着病毒基因组开始复制，入侵的宿主细胞现在活跃地生产病毒蛋白，而不是细胞蛋白。这些新产生的蛋白质和病毒基因组很快被组装成新的病毒，然后病毒从宿主细胞逃逸到入侵其他细胞。</w:t>
            </w:r>
          </w:p>
          <w:p w14:paraId="75406EEA" w14:textId="77777777" w:rsidR="00E22223" w:rsidRDefault="00000000">
            <w:pPr>
              <w:ind w:rightChars="21" w:right="44" w:firstLineChars="200" w:firstLine="480"/>
              <w:rPr>
                <w:sz w:val="24"/>
                <w:szCs w:val="32"/>
              </w:rPr>
            </w:pPr>
            <w:r>
              <w:rPr>
                <w:sz w:val="24"/>
                <w:szCs w:val="32"/>
              </w:rPr>
              <w:t>SARS-CoV-2</w:t>
            </w:r>
            <w:r>
              <w:rPr>
                <w:sz w:val="24"/>
                <w:szCs w:val="32"/>
              </w:rPr>
              <w:t>突变株具有传播速度快、毒力强和容易免疫逃逸等特点</w:t>
            </w:r>
            <w:r>
              <w:rPr>
                <w:sz w:val="24"/>
                <w:szCs w:val="32"/>
              </w:rPr>
              <w:fldChar w:fldCharType="begin">
                <w:fldData xml:space="preserve">PEVuZE5vdGU+PENpdGU+PEF1dGhvcj5EYXZpZXM8L0F1dGhvcj48WWVhcj4yMDIxPC9ZZWFyPjxS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</w:fldData>
              </w:fldChar>
            </w:r>
            <w:r>
              <w:rPr>
                <w:sz w:val="24"/>
                <w:szCs w:val="32"/>
              </w:rPr>
              <w:instrText xml:space="preserve"> ADDIN EN.CITE </w:instrText>
            </w:r>
            <w:r>
              <w:rPr>
                <w:sz w:val="24"/>
                <w:szCs w:val="32"/>
              </w:rPr>
              <w:fldChar w:fldCharType="begin">
                <w:fldData xml:space="preserve">PEVuZE5vdGU+PENpdGU+PEF1dGhvcj5EYXZpZXM8L0F1dGhvcj48WWVhcj4yMDIxPC9ZZWFyPjxS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</w:fldData>
              </w:fldChar>
            </w:r>
            <w:r>
              <w:rPr>
                <w:sz w:val="24"/>
                <w:szCs w:val="32"/>
              </w:rPr>
              <w:instrText xml:space="preserve"> ADDIN EN.CITE.DATA </w:instrText>
            </w:r>
            <w:r>
              <w:rPr>
                <w:sz w:val="24"/>
                <w:szCs w:val="32"/>
              </w:rPr>
            </w:r>
            <w:r>
              <w:rPr>
                <w:sz w:val="24"/>
                <w:szCs w:val="32"/>
              </w:rPr>
              <w:fldChar w:fldCharType="end"/>
            </w:r>
            <w:r>
              <w:rPr>
                <w:sz w:val="24"/>
                <w:szCs w:val="32"/>
              </w:rPr>
            </w:r>
            <w:r>
              <w:rPr>
                <w:sz w:val="24"/>
                <w:szCs w:val="32"/>
              </w:rPr>
              <w:fldChar w:fldCharType="separate"/>
            </w:r>
            <w:r>
              <w:rPr>
                <w:sz w:val="24"/>
                <w:szCs w:val="32"/>
                <w:vertAlign w:val="superscript"/>
              </w:rPr>
              <w:t>[</w:t>
            </w:r>
            <w:hyperlink w:anchor="_ENREF_1" w:tooltip="Davies, 2021 #228" w:history="1">
              <w:r>
                <w:rPr>
                  <w:sz w:val="24"/>
                  <w:szCs w:val="32"/>
                  <w:vertAlign w:val="superscript"/>
                </w:rPr>
                <w:t>1</w:t>
              </w:r>
            </w:hyperlink>
            <w:r>
              <w:rPr>
                <w:sz w:val="24"/>
                <w:szCs w:val="32"/>
                <w:vertAlign w:val="superscript"/>
              </w:rPr>
              <w:t>]</w:t>
            </w:r>
            <w:r>
              <w:rPr>
                <w:sz w:val="24"/>
                <w:szCs w:val="32"/>
              </w:rPr>
              <w:fldChar w:fldCharType="end"/>
            </w:r>
            <w:r>
              <w:rPr>
                <w:sz w:val="24"/>
                <w:szCs w:val="32"/>
              </w:rPr>
              <w:t>。以奥密克戎变异株为例，其传播速度是德尔塔（</w:t>
            </w:r>
            <w:r>
              <w:rPr>
                <w:sz w:val="24"/>
                <w:szCs w:val="32"/>
              </w:rPr>
              <w:t>Delta</w:t>
            </w:r>
            <w:r>
              <w:rPr>
                <w:sz w:val="24"/>
                <w:szCs w:val="32"/>
              </w:rPr>
              <w:t>）变异株的</w:t>
            </w:r>
            <w:r>
              <w:rPr>
                <w:sz w:val="24"/>
                <w:szCs w:val="32"/>
              </w:rPr>
              <w:t>2</w:t>
            </w:r>
            <w:r>
              <w:rPr>
                <w:sz w:val="24"/>
                <w:szCs w:val="32"/>
              </w:rPr>
              <w:t>倍，已成为传染性最强突变株</w:t>
            </w:r>
            <w:r>
              <w:rPr>
                <w:rFonts w:hint="eastAsia"/>
                <w:sz w:val="24"/>
                <w:szCs w:val="32"/>
              </w:rPr>
              <w:t>。</w:t>
            </w:r>
            <w:r>
              <w:rPr>
                <w:sz w:val="24"/>
                <w:szCs w:val="32"/>
              </w:rPr>
              <w:t>面对变异株，新冠肺炎疫苗保护率下降，抗体类药物的活性降低。研究数据显示，</w:t>
            </w:r>
            <w:r>
              <w:rPr>
                <w:sz w:val="24"/>
                <w:szCs w:val="32"/>
              </w:rPr>
              <w:t>2</w:t>
            </w:r>
            <w:r>
              <w:rPr>
                <w:sz w:val="24"/>
                <w:szCs w:val="32"/>
              </w:rPr>
              <w:t>剂阿斯利康公司</w:t>
            </w:r>
            <w:r>
              <w:rPr>
                <w:sz w:val="24"/>
                <w:szCs w:val="32"/>
              </w:rPr>
              <w:t>AZD1222</w:t>
            </w:r>
            <w:r>
              <w:rPr>
                <w:sz w:val="24"/>
                <w:szCs w:val="32"/>
              </w:rPr>
              <w:t>疫苗对德尔塔变异株的保护率为</w:t>
            </w:r>
            <w:r>
              <w:rPr>
                <w:sz w:val="24"/>
                <w:szCs w:val="32"/>
              </w:rPr>
              <w:t>44%</w:t>
            </w:r>
            <w:r>
              <w:rPr>
                <w:sz w:val="24"/>
                <w:szCs w:val="32"/>
              </w:rPr>
              <w:t>，对奥密克戎变异株的保护率仅</w:t>
            </w:r>
            <w:r>
              <w:rPr>
                <w:sz w:val="24"/>
                <w:szCs w:val="32"/>
              </w:rPr>
              <w:t>5%</w:t>
            </w:r>
            <w:r>
              <w:rPr>
                <w:sz w:val="24"/>
                <w:szCs w:val="32"/>
              </w:rPr>
              <w:fldChar w:fldCharType="begin"/>
            </w:r>
            <w:r>
              <w:rPr>
                <w:sz w:val="24"/>
                <w:szCs w:val="32"/>
              </w:rPr>
              <w:instrText xml:space="preserve"> ADDIN EN.CITE &lt;EndNote&gt;&lt;Cite&gt;&lt;Author&gt;Kokic&lt;/Author&gt;&lt;Year&gt;2021&lt;/Year&gt;&lt;RecNum&gt;230&lt;/RecNum&gt;&lt;DisplayText&gt;&lt;style face="superscript"&gt;[2]&lt;/style&gt;&lt;/DisplayText&gt;&lt;record&gt;&lt;rec-number&gt;230&lt;/rec-number&gt;&lt;foreign-keys&gt;&lt;key app="EN" db-id="pxdpxsaxowe90texfxhpxdacr5xs055f20ze" timestamp="1668621427"&gt;230&lt;/key&gt;&lt;/foreign-keys&gt;&lt;ref-type name="Journal Article"&gt;17&lt;/ref-type&gt;&lt;contributors&gt;&lt;authors&gt;&lt;author&gt;Kokic, G.&lt;/author&gt;&lt;author&gt;Hillen, H. S.&lt;/author&gt;&lt;author&gt;Tegunov, D.&lt;/author&gt;&lt;author&gt;Dienemann, C.&lt;/author&gt;&lt;author&gt;Seitz, F.&lt;/author&gt;&lt;author&gt;Schmitzova, J.&lt;/author&gt;&lt;author&gt;Farnung, L.&lt;/author&gt;&lt;author&gt;Siewert, A.&lt;/author&gt;&lt;author&gt;Höbartner, C.&lt;/author&gt;&lt;author&gt;Cramer, P.&lt;/author&gt;&lt;/authors&gt;&lt;/contributors&gt;&lt;titles&gt;&lt;title&gt;Mechanism of SARS-CoV-2 polymerase stalling by remdesivir&lt;/title&gt;&lt;secondary-title&gt;Nat Commun&lt;/secondary-title&gt;&lt;alt-title&gt;Nature communications&lt;/alt-title&gt;&lt;/titles&gt;&lt;periodical&gt;&lt;full-title&gt;Nat Commun&lt;/full-title&gt;&lt;/periodical&gt;&lt;alt-periodical&gt;&lt;full-title&gt;Nature Communications&lt;/full-title&gt;&lt;/alt-periodical&gt;&lt;pages&gt;279&lt;/pages&gt;&lt;volume&gt;12&lt;/volume&gt;&lt;number&gt;1&lt;/number&gt;&lt;edition&gt;2021/01/14&lt;/edition&gt;&lt;dates&gt;&lt;year&gt;2021&lt;/year&gt;&lt;pub-dates&gt;&lt;date&gt;Jan 12&lt;/date&gt;&lt;/pub-dates&gt;&lt;/dates&gt;&lt;isbn&gt;2041-1723&lt;/isbn&gt;&lt;accession-num&gt;33436624&lt;/accession-num&gt;&lt;urls&gt;&lt;/urls&gt;&lt;custom2&gt;PMC7804290&lt;/custom2&gt;&lt;electronic-resource-num&gt;10.1038/s41467-020-20542-0&lt;/electronic-resource-num&gt;&lt;language&gt;eng&lt;/language&gt;&lt;/record&gt;&lt;/Cite&gt;&lt;/EndNote&gt;</w:instrText>
            </w:r>
            <w:r>
              <w:rPr>
                <w:sz w:val="24"/>
                <w:szCs w:val="32"/>
              </w:rPr>
              <w:fldChar w:fldCharType="separate"/>
            </w:r>
            <w:r>
              <w:rPr>
                <w:sz w:val="24"/>
                <w:szCs w:val="32"/>
                <w:vertAlign w:val="superscript"/>
              </w:rPr>
              <w:t>[</w:t>
            </w:r>
            <w:hyperlink w:anchor="_ENREF_2" w:tooltip="Kokic, 2021 #230" w:history="1">
              <w:r>
                <w:rPr>
                  <w:sz w:val="24"/>
                  <w:szCs w:val="32"/>
                  <w:vertAlign w:val="superscript"/>
                </w:rPr>
                <w:t>2</w:t>
              </w:r>
            </w:hyperlink>
            <w:r>
              <w:rPr>
                <w:sz w:val="24"/>
                <w:szCs w:val="32"/>
                <w:vertAlign w:val="superscript"/>
              </w:rPr>
              <w:t>]</w:t>
            </w:r>
            <w:r>
              <w:rPr>
                <w:sz w:val="24"/>
                <w:szCs w:val="32"/>
              </w:rPr>
              <w:fldChar w:fldCharType="end"/>
            </w:r>
            <w:r>
              <w:rPr>
                <w:sz w:val="24"/>
                <w:szCs w:val="32"/>
              </w:rPr>
              <w:t>；</w:t>
            </w:r>
            <w:r>
              <w:rPr>
                <w:sz w:val="24"/>
                <w:szCs w:val="32"/>
              </w:rPr>
              <w:t>SARS-CoV-2</w:t>
            </w:r>
            <w:r>
              <w:rPr>
                <w:sz w:val="24"/>
                <w:szCs w:val="32"/>
              </w:rPr>
              <w:t>中和抗体</w:t>
            </w:r>
            <w:r>
              <w:rPr>
                <w:sz w:val="24"/>
                <w:szCs w:val="32"/>
              </w:rPr>
              <w:t>Bamlanivimab/Etesevimab</w:t>
            </w:r>
            <w:r>
              <w:rPr>
                <w:sz w:val="24"/>
                <w:szCs w:val="32"/>
              </w:rPr>
              <w:t>与</w:t>
            </w:r>
            <w:r>
              <w:rPr>
                <w:sz w:val="24"/>
                <w:szCs w:val="32"/>
              </w:rPr>
              <w:t>Casirivimab/Im⁃devima</w:t>
            </w:r>
            <w:r>
              <w:rPr>
                <w:sz w:val="24"/>
                <w:szCs w:val="32"/>
              </w:rPr>
              <w:t>治疗方案均对奥密克戎变异株无效</w:t>
            </w:r>
            <w:r>
              <w:rPr>
                <w:sz w:val="24"/>
                <w:szCs w:val="32"/>
              </w:rPr>
              <w:fldChar w:fldCharType="begin">
                <w:fldData xml:space="preserve">PEVuZE5vdGU+PENpdGU+PEF1dGhvcj5ZdTwvQXV0aG9yPjxZZWFyPjIwMjI8L1llYXI+PFJlY051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</w:fldData>
              </w:fldChar>
            </w:r>
            <w:r>
              <w:rPr>
                <w:sz w:val="24"/>
                <w:szCs w:val="32"/>
              </w:rPr>
              <w:instrText xml:space="preserve"> ADDIN EN.CITE </w:instrText>
            </w:r>
            <w:r>
              <w:rPr>
                <w:sz w:val="24"/>
                <w:szCs w:val="32"/>
              </w:rPr>
              <w:fldChar w:fldCharType="begin">
                <w:fldData xml:space="preserve">PEVuZE5vdGU+PENpdGU+PEF1dGhvcj5ZdTwvQXV0aG9yPjxZZWFyPjIwMjI8L1llYXI+PFJlY051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</w:fldData>
              </w:fldChar>
            </w:r>
            <w:r>
              <w:rPr>
                <w:sz w:val="24"/>
                <w:szCs w:val="32"/>
              </w:rPr>
              <w:instrText xml:space="preserve"> ADDIN EN.CITE.DATA </w:instrText>
            </w:r>
            <w:r>
              <w:rPr>
                <w:sz w:val="24"/>
                <w:szCs w:val="32"/>
              </w:rPr>
            </w:r>
            <w:r>
              <w:rPr>
                <w:sz w:val="24"/>
                <w:szCs w:val="32"/>
              </w:rPr>
              <w:fldChar w:fldCharType="end"/>
            </w:r>
            <w:r>
              <w:rPr>
                <w:sz w:val="24"/>
                <w:szCs w:val="32"/>
              </w:rPr>
            </w:r>
            <w:r>
              <w:rPr>
                <w:sz w:val="24"/>
                <w:szCs w:val="32"/>
              </w:rPr>
              <w:fldChar w:fldCharType="separate"/>
            </w:r>
            <w:r>
              <w:rPr>
                <w:sz w:val="24"/>
                <w:szCs w:val="32"/>
                <w:vertAlign w:val="superscript"/>
              </w:rPr>
              <w:t>[</w:t>
            </w:r>
            <w:hyperlink w:anchor="_ENREF_3" w:tooltip="Yu, 2022 #231" w:history="1">
              <w:r>
                <w:rPr>
                  <w:sz w:val="24"/>
                  <w:szCs w:val="32"/>
                  <w:vertAlign w:val="superscript"/>
                </w:rPr>
                <w:t>3</w:t>
              </w:r>
            </w:hyperlink>
            <w:r>
              <w:rPr>
                <w:sz w:val="24"/>
                <w:szCs w:val="32"/>
                <w:vertAlign w:val="superscript"/>
              </w:rPr>
              <w:t>]</w:t>
            </w:r>
            <w:r>
              <w:rPr>
                <w:sz w:val="24"/>
                <w:szCs w:val="32"/>
              </w:rPr>
              <w:fldChar w:fldCharType="end"/>
            </w:r>
            <w:r>
              <w:rPr>
                <w:rFonts w:hint="eastAsia"/>
                <w:sz w:val="24"/>
                <w:szCs w:val="32"/>
              </w:rPr>
              <w:t>。</w:t>
            </w:r>
            <w:r>
              <w:rPr>
                <w:sz w:val="24"/>
                <w:szCs w:val="32"/>
              </w:rPr>
              <w:t>临床亟需对各种变异株均能保持活性的抗病毒药物</w:t>
            </w:r>
            <w:r>
              <w:rPr>
                <w:rFonts w:hint="eastAsia"/>
                <w:sz w:val="24"/>
                <w:szCs w:val="32"/>
              </w:rPr>
              <w:t>，</w:t>
            </w:r>
            <w:r>
              <w:rPr>
                <w:rFonts w:hint="eastAsia"/>
                <w:sz w:val="24"/>
              </w:rPr>
              <w:t>高效的抗新冠病毒药物设计对疾病的治疗具有重要意义。</w:t>
            </w:r>
          </w:p>
          <w:p w14:paraId="43EBFD9F" w14:textId="77777777" w:rsidR="00E22223" w:rsidRDefault="00000000">
            <w:pPr>
              <w:ind w:rightChars="21" w:right="44" w:firstLineChars="200" w:firstLine="480"/>
              <w:rPr>
                <w:sz w:val="24"/>
              </w:rPr>
            </w:pPr>
            <w:r>
              <w:rPr>
                <w:rFonts w:hint="eastAsia"/>
                <w:sz w:val="24"/>
              </w:rPr>
              <w:t>面对新冠肺炎疫情，全世界研究人员积极投身于对抗新冠病毒特效药的研发中。目前，国际抗新冠药物研发主要聚焦于“小分子创新药物研发”、“老药筛选”及“抗体药物筛选”三个方向。</w:t>
            </w:r>
          </w:p>
          <w:p w14:paraId="4F6D84EB" w14:textId="77777777" w:rsidR="00E22223" w:rsidRDefault="00000000">
            <w:pPr>
              <w:ind w:rightChars="21" w:right="44" w:firstLineChars="200" w:firstLine="480"/>
              <w:rPr>
                <w:sz w:val="24"/>
              </w:rPr>
            </w:pPr>
            <w:r>
              <w:rPr>
                <w:rFonts w:hint="eastAsia"/>
                <w:sz w:val="24"/>
              </w:rPr>
              <w:t>新药研发主要针对新冠病毒生命周期中的关键蛋白质开展基于结构的新型小分子药物设计与发现工作，研究人员已提出多种药物可以用于</w:t>
            </w:r>
            <w:r>
              <w:rPr>
                <w:rFonts w:hint="eastAsia"/>
                <w:sz w:val="24"/>
              </w:rPr>
              <w:t>COVID-19</w:t>
            </w:r>
            <w:r>
              <w:rPr>
                <w:rFonts w:hint="eastAsia"/>
                <w:sz w:val="24"/>
              </w:rPr>
              <w:t>的治疗中</w:t>
            </w:r>
            <w:r>
              <w:rPr>
                <w:sz w:val="24"/>
              </w:rPr>
              <w:fldChar w:fldCharType="begin">
                <w:fldData xml:space="preserve">PEVuZE5vdGU+PENpdGU+PEF1dGhvcj5NYXJsaW48L0F1dGhvcj48WWVhcj4yMDIyPC9ZZWFyPjxS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</w:fldData>
              </w:fldChar>
            </w:r>
            <w:r>
              <w:rPr>
                <w:sz w:val="24"/>
              </w:rPr>
              <w:instrText xml:space="preserve"> ADDIN EN.CITE </w:instrText>
            </w:r>
            <w:r>
              <w:rPr>
                <w:sz w:val="24"/>
              </w:rPr>
              <w:fldChar w:fldCharType="begin">
                <w:fldData xml:space="preserve">PEVuZE5vdGU+PENpdGU+PEF1dGhvcj5NYXJsaW48L0F1dGhvcj48WWVhcj4yMDIyPC9ZZWFyPjxS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vertAlign w:val="superscript"/>
              </w:rPr>
              <w:t>[</w:t>
            </w:r>
            <w:hyperlink w:anchor="_ENREF_4" w:tooltip="Marlin, 2022 #190" w:history="1">
              <w:r>
                <w:rPr>
                  <w:sz w:val="24"/>
                  <w:vertAlign w:val="superscript"/>
                </w:rPr>
                <w:t>4</w:t>
              </w:r>
            </w:hyperlink>
            <w:r>
              <w:rPr>
                <w:sz w:val="24"/>
                <w:vertAlign w:val="superscript"/>
              </w:rPr>
              <w:t>]</w:t>
            </w:r>
            <w:r>
              <w:rPr>
                <w:sz w:val="24"/>
              </w:rPr>
              <w:fldChar w:fldCharType="end"/>
            </w:r>
            <w:r>
              <w:rPr>
                <w:rFonts w:hint="eastAsia"/>
                <w:sz w:val="24"/>
              </w:rPr>
              <w:t>。</w:t>
            </w:r>
            <w:r>
              <w:rPr>
                <w:rFonts w:hint="eastAsia"/>
                <w:sz w:val="24"/>
              </w:rPr>
              <w:t>2021</w:t>
            </w:r>
            <w:r>
              <w:rPr>
                <w:rFonts w:hint="eastAsia"/>
                <w:sz w:val="24"/>
              </w:rPr>
              <w:t>年</w:t>
            </w:r>
            <w:r>
              <w:rPr>
                <w:rFonts w:hint="eastAsia"/>
                <w:sz w:val="24"/>
              </w:rPr>
              <w:t>11</w:t>
            </w:r>
            <w:r>
              <w:rPr>
                <w:rFonts w:hint="eastAsia"/>
                <w:sz w:val="24"/>
              </w:rPr>
              <w:t>月</w:t>
            </w:r>
            <w:r>
              <w:rPr>
                <w:rFonts w:hint="eastAsia"/>
                <w:sz w:val="24"/>
              </w:rPr>
              <w:t>4</w:t>
            </w:r>
            <w:r>
              <w:rPr>
                <w:rFonts w:hint="eastAsia"/>
                <w:sz w:val="24"/>
              </w:rPr>
              <w:t>日，全球首个</w:t>
            </w:r>
            <w:r>
              <w:rPr>
                <w:rFonts w:hint="eastAsia"/>
                <w:sz w:val="24"/>
              </w:rPr>
              <w:t>COVID-19</w:t>
            </w:r>
            <w:r>
              <w:rPr>
                <w:rFonts w:hint="eastAsia"/>
                <w:sz w:val="24"/>
              </w:rPr>
              <w:t>口服药莫那匹韦（</w:t>
            </w:r>
            <w:r>
              <w:rPr>
                <w:rFonts w:hint="eastAsia"/>
                <w:sz w:val="24"/>
              </w:rPr>
              <w:t>Molnupiravir</w:t>
            </w:r>
            <w:r>
              <w:rPr>
                <w:rFonts w:hint="eastAsia"/>
                <w:sz w:val="24"/>
              </w:rPr>
              <w:t>）在英国获准上市，它是一种核苷类</w:t>
            </w:r>
            <w:r>
              <w:rPr>
                <w:rFonts w:hint="eastAsia"/>
                <w:sz w:val="24"/>
              </w:rPr>
              <w:t>Rd</w:t>
            </w:r>
            <w:r>
              <w:rPr>
                <w:sz w:val="24"/>
              </w:rPr>
              <w:t>R</w:t>
            </w:r>
            <w:r>
              <w:rPr>
                <w:rFonts w:hint="eastAsia"/>
                <w:sz w:val="24"/>
              </w:rPr>
              <w:t>p</w:t>
            </w:r>
            <w:r>
              <w:rPr>
                <w:rFonts w:hint="eastAsia"/>
                <w:sz w:val="24"/>
              </w:rPr>
              <w:t>抑制剂，针对轻、中症非住院患者的Ⅲ期临床试验（</w:t>
            </w:r>
            <w:r>
              <w:rPr>
                <w:rFonts w:hint="eastAsia"/>
                <w:sz w:val="24"/>
              </w:rPr>
              <w:t>M</w:t>
            </w:r>
            <w:r>
              <w:rPr>
                <w:sz w:val="24"/>
              </w:rPr>
              <w:t>OV</w:t>
            </w:r>
            <w:r>
              <w:rPr>
                <w:rFonts w:hint="eastAsia"/>
                <w:sz w:val="24"/>
              </w:rPr>
              <w:t>e</w:t>
            </w:r>
            <w:r>
              <w:rPr>
                <w:sz w:val="24"/>
              </w:rPr>
              <w:t>-OUT</w:t>
            </w:r>
            <w:r>
              <w:rPr>
                <w:rFonts w:hint="eastAsia"/>
                <w:sz w:val="24"/>
              </w:rPr>
              <w:t>）结果显示，与对照组相比，莫那匹韦可将新冠肺炎非住院患者的临床或死亡相对风险降低</w:t>
            </w:r>
            <w:r>
              <w:rPr>
                <w:rFonts w:hint="eastAsia"/>
                <w:sz w:val="24"/>
              </w:rPr>
              <w:t>3</w:t>
            </w:r>
            <w:r>
              <w:rPr>
                <w:sz w:val="24"/>
              </w:rPr>
              <w:t>0</w:t>
            </w:r>
            <w:r>
              <w:rPr>
                <w:rFonts w:hint="eastAsia"/>
                <w:sz w:val="24"/>
              </w:rPr>
              <w:t>％。但其对于</w:t>
            </w:r>
            <w:r>
              <w:rPr>
                <w:rFonts w:hint="eastAsia"/>
                <w:sz w:val="24"/>
              </w:rPr>
              <w:t>SARS-CoV-2</w:t>
            </w:r>
            <w:r>
              <w:rPr>
                <w:rFonts w:hint="eastAsia"/>
                <w:sz w:val="24"/>
              </w:rPr>
              <w:t>关注变种（</w:t>
            </w:r>
            <w:r>
              <w:rPr>
                <w:rFonts w:hint="eastAsia"/>
                <w:sz w:val="24"/>
              </w:rPr>
              <w:t>VOC</w:t>
            </w:r>
            <w:r>
              <w:rPr>
                <w:rFonts w:hint="eastAsia"/>
                <w:sz w:val="24"/>
              </w:rPr>
              <w:t>）的疗效仍有尚未清楚之处，</w:t>
            </w:r>
            <w:r>
              <w:rPr>
                <w:rFonts w:hint="eastAsia"/>
                <w:sz w:val="24"/>
              </w:rPr>
              <w:t>Carolin M. Lieber</w:t>
            </w:r>
            <w:r>
              <w:rPr>
                <w:rFonts w:hint="eastAsia"/>
                <w:sz w:val="24"/>
              </w:rPr>
              <w:t>等人</w:t>
            </w:r>
            <w:r>
              <w:rPr>
                <w:sz w:val="24"/>
              </w:rPr>
              <w:fldChar w:fldCharType="begin">
                <w:fldData xml:space="preserve">PEVuZE5vdGU+PENpdGU+PEF1dGhvcj5MaWViZXI8L0F1dGhvcj48WWVhcj4yMDIyPC9ZZWFyPjxS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</w:fldData>
              </w:fldChar>
            </w:r>
            <w:r>
              <w:rPr>
                <w:sz w:val="24"/>
              </w:rPr>
              <w:instrText xml:space="preserve"> ADDIN EN.CITE </w:instrText>
            </w:r>
            <w:r>
              <w:rPr>
                <w:sz w:val="24"/>
              </w:rPr>
              <w:fldChar w:fldCharType="begin">
                <w:fldData xml:space="preserve">PEVuZE5vdGU+PENpdGU+PEF1dGhvcj5MaWViZXI8L0F1dGhvcj48WWVhcj4yMDIyPC9ZZWFyPjxS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vertAlign w:val="superscript"/>
              </w:rPr>
              <w:t>[</w:t>
            </w:r>
            <w:hyperlink w:anchor="_ENREF_5" w:tooltip="Lieber, 2022 #191" w:history="1">
              <w:r>
                <w:rPr>
                  <w:sz w:val="24"/>
                  <w:vertAlign w:val="superscript"/>
                </w:rPr>
                <w:t>5</w:t>
              </w:r>
            </w:hyperlink>
            <w:r>
              <w:rPr>
                <w:sz w:val="24"/>
                <w:vertAlign w:val="superscript"/>
              </w:rPr>
              <w:t>]</w:t>
            </w:r>
            <w:r>
              <w:rPr>
                <w:sz w:val="24"/>
              </w:rPr>
              <w:fldChar w:fldCharType="end"/>
            </w:r>
            <w:r>
              <w:rPr>
                <w:rFonts w:hint="eastAsia"/>
                <w:sz w:val="24"/>
              </w:rPr>
              <w:t>研究概括了</w:t>
            </w:r>
            <w:r>
              <w:rPr>
                <w:rFonts w:hint="eastAsia"/>
                <w:sz w:val="24"/>
              </w:rPr>
              <w:t>Molnupiravir</w:t>
            </w:r>
            <w:r>
              <w:rPr>
                <w:rFonts w:hint="eastAsia"/>
                <w:sz w:val="24"/>
              </w:rPr>
              <w:t>在人体试验中的混合功效，并提出随着</w:t>
            </w:r>
            <w:r>
              <w:rPr>
                <w:rFonts w:hint="eastAsia"/>
                <w:sz w:val="24"/>
              </w:rPr>
              <w:t>VOC</w:t>
            </w:r>
            <w:r>
              <w:rPr>
                <w:rFonts w:hint="eastAsia"/>
                <w:sz w:val="24"/>
              </w:rPr>
              <w:t>的进化，</w:t>
            </w:r>
            <w:r>
              <w:rPr>
                <w:rFonts w:hint="eastAsia"/>
                <w:sz w:val="24"/>
              </w:rPr>
              <w:t>Molnupiravir</w:t>
            </w:r>
            <w:r>
              <w:rPr>
                <w:rFonts w:hint="eastAsia"/>
                <w:sz w:val="24"/>
              </w:rPr>
              <w:t>的疗效需要被重新评估的建议。辉瑞研发的帕罗维德（</w:t>
            </w:r>
            <w:r>
              <w:rPr>
                <w:rFonts w:hint="eastAsia"/>
                <w:sz w:val="24"/>
              </w:rPr>
              <w:t>Paxlovid</w:t>
            </w:r>
            <w:r>
              <w:rPr>
                <w:rFonts w:hint="eastAsia"/>
                <w:sz w:val="24"/>
              </w:rPr>
              <w:t>）是奈玛特韦（</w:t>
            </w:r>
            <w:r>
              <w:rPr>
                <w:rFonts w:hint="eastAsia"/>
                <w:sz w:val="24"/>
              </w:rPr>
              <w:t>P</w:t>
            </w:r>
            <w:r>
              <w:rPr>
                <w:sz w:val="24"/>
              </w:rPr>
              <w:t>F-07331332</w:t>
            </w:r>
            <w:r>
              <w:rPr>
                <w:rFonts w:hint="eastAsia"/>
                <w:sz w:val="24"/>
              </w:rPr>
              <w:t>）与利托那韦（</w:t>
            </w:r>
            <w:r>
              <w:rPr>
                <w:rFonts w:hint="eastAsia"/>
                <w:sz w:val="24"/>
              </w:rPr>
              <w:t>R</w:t>
            </w:r>
            <w:r>
              <w:rPr>
                <w:sz w:val="24"/>
              </w:rPr>
              <w:t>itonavir</w:t>
            </w:r>
            <w:r>
              <w:rPr>
                <w:rFonts w:hint="eastAsia"/>
                <w:sz w:val="24"/>
              </w:rPr>
              <w:t>）的组合，</w:t>
            </w:r>
            <w:r>
              <w:rPr>
                <w:rFonts w:hint="eastAsia"/>
                <w:sz w:val="24"/>
              </w:rPr>
              <w:t>E</w:t>
            </w:r>
            <w:r>
              <w:rPr>
                <w:sz w:val="24"/>
              </w:rPr>
              <w:t>PIC-HR</w:t>
            </w:r>
            <w:r>
              <w:rPr>
                <w:rFonts w:hint="eastAsia"/>
                <w:sz w:val="24"/>
              </w:rPr>
              <w:t>（非住院、严重疾病风险患者Ⅱ／Ⅲ期临床试验）数据显示，与对照组相比，帕罗维德可将新冠肺炎非住院患者住院或死亡率降低</w:t>
            </w:r>
            <w:r>
              <w:rPr>
                <w:rFonts w:hint="eastAsia"/>
                <w:sz w:val="24"/>
              </w:rPr>
              <w:t>89</w:t>
            </w:r>
            <w:r>
              <w:rPr>
                <w:rFonts w:hint="eastAsia"/>
                <w:sz w:val="24"/>
              </w:rPr>
              <w:t>％。但帕罗维德不断被曝出“复阳”问题，已促使美国国立卫生研究院（</w:t>
            </w:r>
            <w:r>
              <w:rPr>
                <w:rFonts w:hint="eastAsia"/>
                <w:sz w:val="24"/>
              </w:rPr>
              <w:t>N</w:t>
            </w:r>
            <w:r>
              <w:rPr>
                <w:sz w:val="24"/>
              </w:rPr>
              <w:t>IH</w:t>
            </w:r>
            <w:r>
              <w:rPr>
                <w:rFonts w:hint="eastAsia"/>
                <w:sz w:val="24"/>
              </w:rPr>
              <w:t>）开始做相关</w:t>
            </w:r>
            <w:r>
              <w:rPr>
                <w:rFonts w:hint="eastAsia"/>
                <w:sz w:val="24"/>
              </w:rPr>
              <w:lastRenderedPageBreak/>
              <w:t>研究。</w:t>
            </w:r>
          </w:p>
          <w:p w14:paraId="37910224" w14:textId="77777777" w:rsidR="00E22223" w:rsidRDefault="00000000">
            <w:pPr>
              <w:ind w:rightChars="21" w:right="44" w:firstLineChars="200" w:firstLine="480"/>
              <w:rPr>
                <w:sz w:val="24"/>
              </w:rPr>
            </w:pPr>
            <w:r>
              <w:rPr>
                <w:rFonts w:hint="eastAsia"/>
                <w:sz w:val="24"/>
              </w:rPr>
              <w:t>由此可见，抗新冠病毒药物开发设计并不完善，但仍具有紧迫性、重要性。但是新药开发是一个研发周期长、成本高昂且效率低下的过程</w:t>
            </w:r>
            <w:r>
              <w:rPr>
                <w:sz w:val="24"/>
              </w:rPr>
              <w:fldChar w:fldCharType="begin"/>
            </w:r>
            <w:r>
              <w:rPr>
                <w:sz w:val="24"/>
              </w:rPr>
              <w:instrText xml:space="preserve"> ADDIN EN.CITE &lt;EndNote&gt;&lt;Cite&gt;&lt;Author&gt;DiMasi&lt;/Author&gt;&lt;Year&gt;1991&lt;/Year&gt;&lt;RecNum&gt;192&lt;/RecNum&gt;&lt;DisplayText&gt;&lt;style face="superscript"&gt;[6]&lt;/style&gt;&lt;/DisplayText&gt;&lt;record&gt;&lt;rec-number&gt;192&lt;/rec-number&gt;&lt;foreign-keys&gt;&lt;key app="EN" db-id="pxdpxsaxowe90texfxhpxdacr5xs055f20ze" timestamp="1665834935"&gt;192&lt;/key&gt;&lt;/foreign-keys&gt;&lt;ref-type name="Journal Article"&gt;17&lt;/ref-type&gt;&lt;contributors&gt;&lt;authors&gt;&lt;author&gt;Joseph A DiMasi&lt;/author&gt;&lt;author&gt;Ronald W Hansen&lt;/author&gt;&lt;author&gt;Henry G Grabowski&lt;/author&gt;&lt;author&gt;Louis Lasagna&lt;/author&gt;&lt;/authors&gt;&lt;/contributors&gt;&lt;titles&gt;&lt;title&gt;Cost of innovation in the pharmaceutical industry&lt;/title&gt;&lt;secondary-title&gt;Journal of Health Economics&lt;/secondary-title&gt;&lt;/titles&gt;&lt;periodical&gt;&lt;full-title&gt;Journal of Health Economics&lt;/full-title&gt;&lt;/periodical&gt;&lt;pages&gt;107-142&lt;/pages&gt;&lt;volume&gt;10&lt;/volume&gt;&lt;number&gt;2&lt;/number&gt;&lt;dates&gt;&lt;year&gt;1991&lt;/year&gt;&lt;/dates&gt;&lt;isbn&gt;0167-6296&lt;/isbn&gt;&lt;urls&gt;&lt;/urls&gt;&lt;electronic-resource-num&gt;10.1016/0167-6296(91)90001-4&lt;/electronic-resource-num&gt;&lt;/record&gt;&lt;/Cite&gt;&lt;/EndNote&gt;</w:instrText>
            </w:r>
            <w:r>
              <w:rPr>
                <w:sz w:val="24"/>
              </w:rPr>
              <w:fldChar w:fldCharType="separate"/>
            </w:r>
            <w:r>
              <w:rPr>
                <w:sz w:val="24"/>
                <w:vertAlign w:val="superscript"/>
              </w:rPr>
              <w:t>[</w:t>
            </w:r>
            <w:hyperlink w:anchor="_ENREF_6" w:tooltip="DiMasi, 1991 #192" w:history="1">
              <w:r>
                <w:rPr>
                  <w:sz w:val="24"/>
                  <w:vertAlign w:val="superscript"/>
                </w:rPr>
                <w:t>6</w:t>
              </w:r>
            </w:hyperlink>
            <w:r>
              <w:rPr>
                <w:sz w:val="24"/>
                <w:vertAlign w:val="superscript"/>
              </w:rPr>
              <w:t>]</w:t>
            </w:r>
            <w:r>
              <w:rPr>
                <w:sz w:val="24"/>
              </w:rPr>
              <w:fldChar w:fldCharType="end"/>
            </w:r>
            <w:r>
              <w:rPr>
                <w:rFonts w:hint="eastAsia"/>
                <w:sz w:val="24"/>
              </w:rPr>
              <w:t>。采用“老药新用”的研发策略，可以节省临床前和部分临床研究时间，从而大大缩短药物研发的时间成本，是应对突发性烈性传染病等疫情暴发的有效手段之一。瑞德西韦早先的适应证是抗埃博拉病毒（</w:t>
            </w:r>
            <w:r>
              <w:rPr>
                <w:rFonts w:hint="eastAsia"/>
                <w:sz w:val="24"/>
              </w:rPr>
              <w:t xml:space="preserve"> Ebolavirus</w:t>
            </w:r>
            <w:r>
              <w:rPr>
                <w:rFonts w:hint="eastAsia"/>
                <w:sz w:val="24"/>
              </w:rPr>
              <w:t>，</w:t>
            </w:r>
            <w:r>
              <w:rPr>
                <w:rFonts w:hint="eastAsia"/>
                <w:sz w:val="24"/>
              </w:rPr>
              <w:t>EBOV</w:t>
            </w:r>
            <w:r>
              <w:rPr>
                <w:rFonts w:hint="eastAsia"/>
                <w:sz w:val="24"/>
              </w:rPr>
              <w:t>），随着对瑞德西韦研究的深入，研究人员发现瑞德西韦的抗病毒作用并不仅限于埃博拉病毒，其对</w:t>
            </w:r>
            <w:r>
              <w:rPr>
                <w:sz w:val="24"/>
              </w:rPr>
              <w:t>MERS-C</w:t>
            </w:r>
            <w:r>
              <w:rPr>
                <w:rFonts w:hint="eastAsia"/>
                <w:sz w:val="24"/>
              </w:rPr>
              <w:t>o</w:t>
            </w:r>
            <w:r>
              <w:rPr>
                <w:sz w:val="24"/>
              </w:rPr>
              <w:t>V</w:t>
            </w:r>
            <w:r>
              <w:rPr>
                <w:rFonts w:hint="eastAsia"/>
                <w:sz w:val="24"/>
              </w:rPr>
              <w:t>和</w:t>
            </w:r>
            <w:r>
              <w:rPr>
                <w:sz w:val="24"/>
              </w:rPr>
              <w:t>SARS-C</w:t>
            </w:r>
            <w:r>
              <w:rPr>
                <w:rFonts w:hint="eastAsia"/>
                <w:sz w:val="24"/>
              </w:rPr>
              <w:t>o</w:t>
            </w:r>
            <w:r>
              <w:rPr>
                <w:sz w:val="24"/>
              </w:rPr>
              <w:t>V</w:t>
            </w:r>
            <w:r>
              <w:rPr>
                <w:rFonts w:hint="eastAsia"/>
                <w:sz w:val="24"/>
              </w:rPr>
              <w:t>等多种冠状病毒也有抑制效果。</w:t>
            </w:r>
            <w:r>
              <w:rPr>
                <w:rFonts w:hint="eastAsia"/>
                <w:sz w:val="24"/>
              </w:rPr>
              <w:t>2022</w:t>
            </w:r>
            <w:r>
              <w:rPr>
                <w:rFonts w:hint="eastAsia"/>
                <w:sz w:val="24"/>
              </w:rPr>
              <w:t>年</w:t>
            </w:r>
            <w:r>
              <w:rPr>
                <w:rFonts w:hint="eastAsia"/>
                <w:sz w:val="24"/>
              </w:rPr>
              <w:t>10</w:t>
            </w:r>
            <w:r>
              <w:rPr>
                <w:rFonts w:hint="eastAsia"/>
                <w:sz w:val="24"/>
              </w:rPr>
              <w:t>月</w:t>
            </w:r>
            <w:r>
              <w:rPr>
                <w:rFonts w:hint="eastAsia"/>
                <w:sz w:val="24"/>
              </w:rPr>
              <w:t>22</w:t>
            </w:r>
            <w:r>
              <w:rPr>
                <w:rFonts w:hint="eastAsia"/>
                <w:sz w:val="24"/>
              </w:rPr>
              <w:t>日，美国食品药品管理局（</w:t>
            </w:r>
            <w:r>
              <w:rPr>
                <w:rFonts w:hint="eastAsia"/>
                <w:sz w:val="24"/>
              </w:rPr>
              <w:t>Food and Drug Administration,</w:t>
            </w:r>
            <w:r>
              <w:rPr>
                <w:sz w:val="24"/>
              </w:rPr>
              <w:t xml:space="preserve"> </w:t>
            </w:r>
            <w:r>
              <w:rPr>
                <w:rFonts w:hint="eastAsia"/>
                <w:sz w:val="24"/>
              </w:rPr>
              <w:t>FDA</w:t>
            </w:r>
            <w:r>
              <w:rPr>
                <w:rFonts w:hint="eastAsia"/>
                <w:sz w:val="24"/>
              </w:rPr>
              <w:t>）已通过瑞德西韦的审批，令其成为了美国市场上首款用于治疗新冠肺炎的药物。瑞德西韦虽已成功上市，但其临床试验数据仍存在争议。</w:t>
            </w:r>
          </w:p>
          <w:p w14:paraId="510BDF97" w14:textId="77777777" w:rsidR="00E22223" w:rsidRDefault="00000000">
            <w:pPr>
              <w:ind w:rightChars="21" w:right="44" w:firstLineChars="200" w:firstLine="480"/>
              <w:rPr>
                <w:sz w:val="24"/>
              </w:rPr>
            </w:pPr>
            <w:r>
              <w:rPr>
                <w:rFonts w:hint="eastAsia"/>
                <w:sz w:val="24"/>
              </w:rPr>
              <w:t>在此基础上，药物的重新定位成为目前新兴的药物研发策略之一。药物重新定位是将现有药物应用于新的疾病的过程。在已批准上市药物的耐药性及其动力学的基础上挖掘其新的用途，实现利用旧药物治疗新疾病，从而可以有效降低药物的使用安全风险，节省药物设计和筛选成本</w:t>
            </w:r>
            <w:r>
              <w:rPr>
                <w:sz w:val="24"/>
              </w:rPr>
              <w:fldChar w:fldCharType="begin">
                <w:fldData xml:space="preserve">PEVuZE5vdGU+PENpdGU+PEF1dGhvcj5Kb3VyZGFuPC9BdXRob3I+PFllYXI+MjAyMDwvWWVhcj48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==
</w:fldData>
              </w:fldChar>
            </w:r>
            <w:r>
              <w:rPr>
                <w:sz w:val="24"/>
              </w:rPr>
              <w:instrText xml:space="preserve"> ADDIN EN.CITE </w:instrText>
            </w:r>
            <w:r>
              <w:rPr>
                <w:sz w:val="24"/>
              </w:rPr>
              <w:fldChar w:fldCharType="begin">
                <w:fldData xml:space="preserve">PEVuZE5vdGU+PENpdGU+PEF1dGhvcj5Kb3VyZGFuPC9BdXRob3I+PFllYXI+MjAyMDwvWWVhcj48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==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vertAlign w:val="superscript"/>
              </w:rPr>
              <w:t>[</w:t>
            </w:r>
            <w:hyperlink w:anchor="_ENREF_7" w:tooltip="Jourdan, 2020 #193" w:history="1">
              <w:r>
                <w:rPr>
                  <w:sz w:val="24"/>
                  <w:vertAlign w:val="superscript"/>
                </w:rPr>
                <w:t>7</w:t>
              </w:r>
            </w:hyperlink>
            <w:r>
              <w:rPr>
                <w:sz w:val="24"/>
                <w:vertAlign w:val="superscript"/>
              </w:rPr>
              <w:t xml:space="preserve">, </w:t>
            </w:r>
            <w:hyperlink w:anchor="_ENREF_8" w:tooltip="Liu, 2021 #198" w:history="1">
              <w:r>
                <w:rPr>
                  <w:sz w:val="24"/>
                  <w:vertAlign w:val="superscript"/>
                </w:rPr>
                <w:t>8</w:t>
              </w:r>
            </w:hyperlink>
            <w:r>
              <w:rPr>
                <w:sz w:val="24"/>
                <w:vertAlign w:val="superscript"/>
              </w:rPr>
              <w:t>]</w:t>
            </w:r>
            <w:r>
              <w:rPr>
                <w:sz w:val="24"/>
              </w:rPr>
              <w:fldChar w:fldCharType="end"/>
            </w:r>
            <w:r>
              <w:rPr>
                <w:rFonts w:hint="eastAsia"/>
                <w:sz w:val="24"/>
              </w:rPr>
              <w:t>。</w:t>
            </w:r>
          </w:p>
          <w:p w14:paraId="4F8D8CC1" w14:textId="77777777" w:rsidR="00E22223" w:rsidRDefault="00000000">
            <w:pPr>
              <w:ind w:rightChars="21" w:right="44" w:firstLineChars="200" w:firstLine="480"/>
              <w:rPr>
                <w:sz w:val="24"/>
              </w:rPr>
            </w:pPr>
            <w:r>
              <w:rPr>
                <w:rFonts w:hint="eastAsia"/>
                <w:sz w:val="24"/>
              </w:rPr>
              <w:t>加速药物发现以及药物重新定位</w:t>
            </w:r>
            <w:r>
              <w:rPr>
                <w:sz w:val="24"/>
              </w:rPr>
              <w:t>的一个关键</w:t>
            </w:r>
            <w:r>
              <w:rPr>
                <w:rFonts w:hint="eastAsia"/>
                <w:sz w:val="24"/>
              </w:rPr>
              <w:t>基础</w:t>
            </w:r>
            <w:r>
              <w:rPr>
                <w:sz w:val="24"/>
              </w:rPr>
              <w:t>是</w:t>
            </w:r>
            <w:r>
              <w:rPr>
                <w:rFonts w:hint="eastAsia"/>
                <w:sz w:val="24"/>
              </w:rPr>
              <w:t>准确高效地识别</w:t>
            </w:r>
            <w:r>
              <w:rPr>
                <w:sz w:val="24"/>
              </w:rPr>
              <w:t>药物与靶点</w:t>
            </w:r>
            <w:r>
              <w:rPr>
                <w:rFonts w:hint="eastAsia"/>
                <w:sz w:val="24"/>
              </w:rPr>
              <w:t>的相关性</w:t>
            </w:r>
            <w:r>
              <w:rPr>
                <w:sz w:val="24"/>
              </w:rPr>
              <w:fldChar w:fldCharType="begin"/>
            </w:r>
            <w:r>
              <w:rPr>
                <w:sz w:val="24"/>
              </w:rPr>
              <w:instrText xml:space="preserve"> ADDIN EN.CITE &lt;EndNote&gt;&lt;Cite&gt;&lt;Author&gt;Nunez&lt;/Author&gt;&lt;Year&gt;2012&lt;/Year&gt;&lt;RecNum&gt;196&lt;/RecNum&gt;&lt;DisplayText&gt;&lt;style face="superscript"&gt;[9]&lt;/style&gt;&lt;/DisplayText&gt;&lt;record&gt;&lt;rec-number&gt;196&lt;/rec-number&gt;&lt;foreign-keys&gt;&lt;key app="EN" db-id="pxdpxsaxowe90texfxhpxdacr5xs055f20ze" timestamp="1665976333"&gt;196&lt;/key&gt;&lt;/foreign-keys&gt;&lt;ref-type name="Journal Article"&gt;17&lt;/ref-type&gt;&lt;contributors&gt;&lt;authors&gt;&lt;author&gt;Nunez, Sara&lt;/author&gt;&lt;author&gt;Venhorst, Jennifer&lt;/author&gt;&lt;author&gt;Kruse, Chris G.&lt;/author&gt;&lt;/authors&gt;&lt;/contributors&gt;&lt;titles&gt;&lt;title&gt;Target-drug interactions: first principles and their application to drug discovery&lt;/title&gt;&lt;secondary-title&gt;Drug Discovery Today&lt;/secondary-title&gt;&lt;/titles&gt;&lt;periodical&gt;&lt;full-title&gt;Drug Discovery Today&lt;/full-title&gt;&lt;/periodical&gt;&lt;pages&gt;10-22&lt;/pages&gt;&lt;volume&gt;17&lt;/volume&gt;&lt;number&gt;1-2&lt;/number&gt;&lt;dates&gt;&lt;year&gt;2012&lt;/year&gt;&lt;pub-dates&gt;&lt;date&gt;Jan&lt;/date&gt;&lt;/pub-dates&gt;&lt;/dates&gt;&lt;isbn&gt;1359-6446&lt;/isbn&gt;&lt;accession-num&gt;WOS:000299649500003&lt;/accession-num&gt;&lt;urls&gt;&lt;related-urls&gt;&lt;url&gt;&amp;lt;Go to ISI&amp;gt;://WOS:000299649500003&lt;/url&gt;&lt;/related-urls&gt;&lt;/urls&gt;&lt;electronic-resource-num&gt;10.1016/j.drudis.2011.06.013&lt;/electronic-resource-num&gt;&lt;/record&gt;&lt;/Cite&gt;&lt;/EndNote&gt;</w:instrText>
            </w:r>
            <w:r>
              <w:rPr>
                <w:sz w:val="24"/>
              </w:rPr>
              <w:fldChar w:fldCharType="separate"/>
            </w:r>
            <w:r>
              <w:rPr>
                <w:sz w:val="24"/>
                <w:vertAlign w:val="superscript"/>
              </w:rPr>
              <w:t>[</w:t>
            </w:r>
            <w:hyperlink w:anchor="_ENREF_9" w:tooltip="Nunez, 2012 #196" w:history="1">
              <w:r>
                <w:rPr>
                  <w:sz w:val="24"/>
                  <w:vertAlign w:val="superscript"/>
                </w:rPr>
                <w:t>9</w:t>
              </w:r>
            </w:hyperlink>
            <w:r>
              <w:rPr>
                <w:sz w:val="24"/>
                <w:vertAlign w:val="superscript"/>
              </w:rPr>
              <w:t>]</w:t>
            </w:r>
            <w:r>
              <w:rPr>
                <w:sz w:val="24"/>
              </w:rPr>
              <w:fldChar w:fldCharType="end"/>
            </w:r>
            <w:r>
              <w:rPr>
                <w:sz w:val="24"/>
              </w:rPr>
              <w:t>。</w:t>
            </w:r>
            <w:r>
              <w:rPr>
                <w:rFonts w:hint="eastAsia"/>
                <w:sz w:val="24"/>
              </w:rPr>
              <w:t>药物</w:t>
            </w:r>
            <w:r>
              <w:rPr>
                <w:rFonts w:hint="eastAsia"/>
                <w:sz w:val="24"/>
              </w:rPr>
              <w:t>-</w:t>
            </w:r>
            <w:r>
              <w:rPr>
                <w:rFonts w:hint="eastAsia"/>
                <w:sz w:val="24"/>
              </w:rPr>
              <w:t>靶点相互作用（</w:t>
            </w:r>
            <w:r>
              <w:rPr>
                <w:rFonts w:hint="eastAsia"/>
                <w:sz w:val="24"/>
              </w:rPr>
              <w:t>drug-target interaction, DTI</w:t>
            </w:r>
            <w:r>
              <w:rPr>
                <w:rFonts w:hint="eastAsia"/>
                <w:sz w:val="24"/>
              </w:rPr>
              <w:t>）是药物通过作用于靶蛋白并与其发生相互作用，从而影响靶蛋白的药理作用以达到表型效应，这是药物产生药效的前提</w:t>
            </w:r>
            <w:r>
              <w:rPr>
                <w:sz w:val="24"/>
              </w:rPr>
              <w:fldChar w:fldCharType="begin"/>
            </w:r>
            <w:r>
              <w:rPr>
                <w:sz w:val="24"/>
              </w:rPr>
              <w:instrText xml:space="preserve"> ADDIN EN.CITE &lt;EndNote&gt;&lt;Cite&gt;&lt;Author&gt;Bagherian&lt;/Author&gt;&lt;Year&gt;2021&lt;/Year&gt;&lt;RecNum&gt;194&lt;/RecNum&gt;&lt;DisplayText&gt;&lt;style face="superscript"&gt;[10]&lt;/style&gt;&lt;/DisplayText&gt;&lt;record&gt;&lt;rec-number&gt;194&lt;/rec-number&gt;&lt;foreign-keys&gt;&lt;key app="EN" db-id="pxdpxsaxowe90texfxhpxdacr5xs055f20ze" timestamp="1665836585"&gt;194&lt;/key&gt;&lt;/foreign-keys&gt;&lt;ref-type name="Journal Article"&gt;17&lt;/ref-type&gt;&lt;contributors&gt;&lt;authors&gt;&lt;author&gt;Bagherian, Maryam&lt;/author&gt;&lt;author&gt;Sabeti, Elyas&lt;/author&gt;&lt;author&gt;Wang, Kai&lt;/author&gt;&lt;author&gt;Sartor, Maureen A.&lt;/author&gt;&lt;author&gt;Nikolovska-Coleska, Zaneta&lt;/author&gt;&lt;author&gt;Najarian, Kayvan&lt;/author&gt;&lt;/authors&gt;&lt;/contributors&gt;&lt;titles&gt;&lt;title&gt;Machine learning approaches and databases for prediction of drug-target interaction: a survey paper&lt;/title&gt;&lt;secondary-title&gt;Briefings in Bioinformatics&lt;/secondary-title&gt;&lt;/titles&gt;&lt;periodical&gt;&lt;full-title&gt;Briefings in Bioinformatics&lt;/full-title&gt;&lt;/periodical&gt;&lt;pages&gt;247-269&lt;/pages&gt;&lt;volume&gt;22&lt;/volume&gt;&lt;number&gt;1&lt;/number&gt;&lt;dates&gt;&lt;year&gt;2021&lt;/year&gt;&lt;pub-dates&gt;&lt;date&gt;Jan&lt;/date&gt;&lt;/pub-dates&gt;&lt;/dates&gt;&lt;isbn&gt;1467-5463&lt;/isbn&gt;&lt;accession-num&gt;WOS:000634950200020&lt;/accession-num&gt;&lt;urls&gt;&lt;related-urls&gt;&lt;url&gt;&amp;lt;Go to ISI&amp;gt;://WOS:000634950200020&lt;/url&gt;&lt;/related-urls&gt;&lt;/urls&gt;&lt;electronic-resource-num&gt;10.1093/bib/bbz157&lt;/electronic-resource-num&gt;&lt;/record&gt;&lt;/Cite&gt;&lt;/EndNote&gt;</w:instrText>
            </w:r>
            <w:r>
              <w:rPr>
                <w:sz w:val="24"/>
              </w:rPr>
              <w:fldChar w:fldCharType="separate"/>
            </w:r>
            <w:r>
              <w:rPr>
                <w:sz w:val="24"/>
                <w:vertAlign w:val="superscript"/>
              </w:rPr>
              <w:t>[</w:t>
            </w:r>
            <w:hyperlink w:anchor="_ENREF_10" w:tooltip="Bagherian, 2021 #194" w:history="1">
              <w:r>
                <w:rPr>
                  <w:sz w:val="24"/>
                  <w:vertAlign w:val="superscript"/>
                </w:rPr>
                <w:t>10</w:t>
              </w:r>
            </w:hyperlink>
            <w:r>
              <w:rPr>
                <w:sz w:val="24"/>
                <w:vertAlign w:val="superscript"/>
              </w:rPr>
              <w:t>]</w:t>
            </w:r>
            <w:r>
              <w:rPr>
                <w:sz w:val="24"/>
              </w:rPr>
              <w:fldChar w:fldCharType="end"/>
            </w:r>
            <w:r>
              <w:rPr>
                <w:rFonts w:hint="eastAsia"/>
                <w:sz w:val="24"/>
              </w:rPr>
              <w:t>。由此</w:t>
            </w:r>
            <w:r>
              <w:rPr>
                <w:sz w:val="24"/>
              </w:rPr>
              <w:t>强调了</w:t>
            </w:r>
            <w:r>
              <w:rPr>
                <w:rFonts w:hint="eastAsia"/>
                <w:sz w:val="24"/>
              </w:rPr>
              <w:t>D</w:t>
            </w:r>
            <w:r>
              <w:rPr>
                <w:sz w:val="24"/>
              </w:rPr>
              <w:t>TI</w:t>
            </w:r>
            <w:r>
              <w:rPr>
                <w:sz w:val="24"/>
              </w:rPr>
              <w:t>在药物</w:t>
            </w:r>
            <w:r>
              <w:rPr>
                <w:rFonts w:hint="eastAsia"/>
                <w:sz w:val="24"/>
              </w:rPr>
              <w:t>开发</w:t>
            </w:r>
            <w:r>
              <w:rPr>
                <w:sz w:val="24"/>
              </w:rPr>
              <w:t>中的关键作用</w:t>
            </w:r>
            <w:r>
              <w:rPr>
                <w:rFonts w:hint="eastAsia"/>
                <w:sz w:val="24"/>
              </w:rPr>
              <w:t>，</w:t>
            </w:r>
            <w:r>
              <w:rPr>
                <w:sz w:val="24"/>
              </w:rPr>
              <w:t>对于为包括</w:t>
            </w:r>
            <w:r>
              <w:rPr>
                <w:sz w:val="24"/>
              </w:rPr>
              <w:t xml:space="preserve"> SARS-CoV-2 </w:t>
            </w:r>
            <w:r>
              <w:rPr>
                <w:sz w:val="24"/>
              </w:rPr>
              <w:t>在内的新病原体找到有效且安全的治疗方法尤其重要</w:t>
            </w:r>
            <w:r>
              <w:rPr>
                <w:rFonts w:hint="eastAsia"/>
                <w:sz w:val="24"/>
              </w:rPr>
              <w:t>。</w:t>
            </w:r>
          </w:p>
          <w:p w14:paraId="045DAD58" w14:textId="77777777" w:rsidR="00E22223" w:rsidRDefault="00000000">
            <w:pPr>
              <w:ind w:rightChars="21" w:right="44" w:firstLineChars="200" w:firstLine="480"/>
              <w:rPr>
                <w:sz w:val="24"/>
              </w:rPr>
            </w:pPr>
            <w:r>
              <w:rPr>
                <w:sz w:val="24"/>
              </w:rPr>
              <w:t>正确识别和验证</w:t>
            </w:r>
            <w:r>
              <w:rPr>
                <w:rFonts w:hint="eastAsia"/>
                <w:sz w:val="24"/>
              </w:rPr>
              <w:t>D</w:t>
            </w:r>
            <w:r>
              <w:rPr>
                <w:sz w:val="24"/>
              </w:rPr>
              <w:t>TI</w:t>
            </w:r>
            <w:r>
              <w:rPr>
                <w:sz w:val="24"/>
              </w:rPr>
              <w:t>是药物发现</w:t>
            </w:r>
            <w:r>
              <w:rPr>
                <w:rFonts w:hint="eastAsia"/>
                <w:sz w:val="24"/>
              </w:rPr>
              <w:t>以及药物重定位</w:t>
            </w:r>
            <w:r>
              <w:rPr>
                <w:sz w:val="24"/>
              </w:rPr>
              <w:t>流程的第一步。到目前为止，还有许多潜在的</w:t>
            </w:r>
            <w:r>
              <w:rPr>
                <w:rFonts w:hint="eastAsia"/>
                <w:sz w:val="24"/>
              </w:rPr>
              <w:t>D</w:t>
            </w:r>
            <w:r>
              <w:rPr>
                <w:sz w:val="24"/>
              </w:rPr>
              <w:t>TI</w:t>
            </w:r>
            <w:r>
              <w:rPr>
                <w:sz w:val="24"/>
              </w:rPr>
              <w:t>尚未被发现</w:t>
            </w:r>
            <w:r>
              <w:rPr>
                <w:rFonts w:hint="eastAsia"/>
                <w:sz w:val="24"/>
              </w:rPr>
              <w:t>。通过计算机预测研究药物靶点的相关性，</w:t>
            </w:r>
            <w:r>
              <w:rPr>
                <w:sz w:val="24"/>
              </w:rPr>
              <w:t>不仅有助于更好地理解复杂的生物相互作用和重要的生物过程，而且</w:t>
            </w:r>
            <w:r>
              <w:rPr>
                <w:rFonts w:hint="eastAsia"/>
                <w:sz w:val="24"/>
              </w:rPr>
              <w:t>可以缩小候选实验药物的搜索空间，减少相应的时间和成本。使用计算方法进行虚拟筛选，找出一些对新冠肺炎有效的潜在药物，可以指导实验科学家，并在更短的时间内验证能够对抗病毒的分子。其中，基于人工智能的模型显示出其强大的能力</w:t>
            </w:r>
            <w:r>
              <w:rPr>
                <w:sz w:val="24"/>
              </w:rPr>
              <w:fldChar w:fldCharType="begin"/>
            </w:r>
            <w:r>
              <w:rPr>
                <w:sz w:val="24"/>
              </w:rPr>
              <w:instrText xml:space="preserve"> ADDIN EN.CITE &lt;EndNote&gt;&lt;Cite&gt;&lt;Author&gt;Zhang&lt;/Author&gt;&lt;Year&gt;2017&lt;/Year&gt;&lt;RecNum&gt;197&lt;/RecNum&gt;&lt;DisplayText&gt;&lt;style face="superscript"&gt;[11]&lt;/style&gt;&lt;/DisplayText&gt;&lt;record&gt;&lt;rec-number&gt;197&lt;/rec-number&gt;&lt;foreign-keys&gt;&lt;key app="EN" db-id="pxdpxsaxowe90texfxhpxdacr5xs055f20ze" timestamp="1665977033"&gt;197&lt;/key&gt;&lt;/foreign-keys&gt;&lt;ref-type name="Journal Article"&gt;17&lt;/ref-type&gt;&lt;contributors&gt;&lt;authors&gt;&lt;author&gt;Zhang, Lu&lt;/author&gt;&lt;author&gt;Tan, Jianjun&lt;/author&gt;&lt;author&gt;Han, Dan&lt;/author&gt;&lt;author&gt;Zhu, Hao&lt;/author&gt;&lt;/authors&gt;&lt;/contributors&gt;&lt;titles&gt;&lt;title&gt;From machine learning to deep learning: progress in machine intelligence for rational drug discovery&lt;/title&gt;&lt;secondary-title&gt;Drug Discovery Today&lt;/secondary-title&gt;&lt;/titles&gt;&lt;periodical&gt;&lt;full-title&gt;Drug Discovery Today&lt;/full-title&gt;&lt;/periodical&gt;&lt;pages&gt;1680-1685&lt;/pages&gt;&lt;volume&gt;22&lt;/volume&gt;&lt;number&gt;11&lt;/number&gt;&lt;dates&gt;&lt;year&gt;2017&lt;/year&gt;&lt;pub-dates&gt;&lt;date&gt;Nov&lt;/date&gt;&lt;/pub-dates&gt;&lt;/dates&gt;&lt;isbn&gt;1359-6446&lt;/isbn&gt;&lt;accession-num&gt;WOS:000416496500008&lt;/accession-num&gt;&lt;urls&gt;&lt;related-urls&gt;&lt;url&gt;&amp;lt;Go to ISI&amp;gt;://WOS:000416496500008&lt;/url&gt;&lt;/related-urls&gt;&lt;/urls&gt;&lt;electronic-resource-num&gt;10.1016/j.drudis.2017.08.010&lt;/electronic-resource-num&gt;&lt;/record&gt;&lt;/Cite&gt;&lt;/EndNote&gt;</w:instrText>
            </w:r>
            <w:r>
              <w:rPr>
                <w:sz w:val="24"/>
              </w:rPr>
              <w:fldChar w:fldCharType="separate"/>
            </w:r>
            <w:r>
              <w:rPr>
                <w:sz w:val="24"/>
                <w:vertAlign w:val="superscript"/>
              </w:rPr>
              <w:t>[</w:t>
            </w:r>
            <w:hyperlink w:anchor="_ENREF_11" w:tooltip="Zhang, 2017 #197" w:history="1">
              <w:r>
                <w:rPr>
                  <w:sz w:val="24"/>
                  <w:vertAlign w:val="superscript"/>
                </w:rPr>
                <w:t>11</w:t>
              </w:r>
            </w:hyperlink>
            <w:r>
              <w:rPr>
                <w:sz w:val="24"/>
                <w:vertAlign w:val="superscript"/>
              </w:rPr>
              <w:t>]</w:t>
            </w:r>
            <w:r>
              <w:rPr>
                <w:sz w:val="24"/>
              </w:rPr>
              <w:fldChar w:fldCharType="end"/>
            </w:r>
            <w:r>
              <w:rPr>
                <w:rFonts w:hint="eastAsia"/>
                <w:sz w:val="24"/>
              </w:rPr>
              <w:t>。许多机器学习模型应运而生，从而提高预测性能。大多数都将预测任务视为一个二分类问题，即预测是否存在药物与靶的相关性。然而，在一些机器学习方法中，通过将模型限制为简单的形式，如双线性或对数双线性函数等，可能不足以获得异构数据背后的复杂隐藏特征。</w:t>
            </w:r>
            <w:r>
              <w:rPr>
                <w:sz w:val="24"/>
              </w:rPr>
              <w:t>深度学习（</w:t>
            </w:r>
            <w:r>
              <w:rPr>
                <w:sz w:val="24"/>
              </w:rPr>
              <w:t>D</w:t>
            </w:r>
            <w:r>
              <w:rPr>
                <w:rFonts w:hint="eastAsia"/>
                <w:sz w:val="24"/>
              </w:rPr>
              <w:t>eep</w:t>
            </w:r>
            <w:r>
              <w:rPr>
                <w:sz w:val="24"/>
              </w:rPr>
              <w:t xml:space="preserve"> L</w:t>
            </w:r>
            <w:r>
              <w:rPr>
                <w:rFonts w:hint="eastAsia"/>
                <w:sz w:val="24"/>
              </w:rPr>
              <w:t>earning</w:t>
            </w:r>
            <w:r>
              <w:rPr>
                <w:sz w:val="24"/>
              </w:rPr>
              <w:t>）在识别、处理和推断分子数据中的复杂模式方面提供了更强的表达能力，从而改进了传统的化合物计算建模</w:t>
            </w:r>
            <w:r>
              <w:rPr>
                <w:sz w:val="24"/>
              </w:rPr>
              <w:fldChar w:fldCharType="begin">
                <w:fldData xml:space="preserve">PEVuZE5vdGU+PENpdGU+PEF1dGhvcj5MZWU8L0F1dGhvcj48WWVhcj4yMDE5PC9ZZWFyPjxSZWNO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</w:fldData>
              </w:fldChar>
            </w:r>
            <w:r>
              <w:rPr>
                <w:sz w:val="24"/>
              </w:rPr>
              <w:instrText xml:space="preserve"> ADDIN EN.CITE </w:instrText>
            </w:r>
            <w:r>
              <w:rPr>
                <w:sz w:val="24"/>
              </w:rPr>
              <w:fldChar w:fldCharType="begin">
                <w:fldData xml:space="preserve">PEVuZE5vdGU+PENpdGU+PEF1dGhvcj5MZWU8L0F1dGhvcj48WWVhcj4yMDE5PC9ZZWFyPjxSZWNO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vertAlign w:val="superscript"/>
              </w:rPr>
              <w:t>[</w:t>
            </w:r>
            <w:hyperlink w:anchor="_ENREF_12" w:tooltip="Lee, 2019 #72" w:history="1">
              <w:r>
                <w:rPr>
                  <w:sz w:val="24"/>
                  <w:vertAlign w:val="superscript"/>
                </w:rPr>
                <w:t>12</w:t>
              </w:r>
            </w:hyperlink>
            <w:r>
              <w:rPr>
                <w:sz w:val="24"/>
                <w:vertAlign w:val="superscript"/>
              </w:rPr>
              <w:t xml:space="preserve">, </w:t>
            </w:r>
            <w:hyperlink w:anchor="_ENREF_13" w:tooltip="Ozturk, 2018 #74" w:history="1">
              <w:r>
                <w:rPr>
                  <w:sz w:val="24"/>
                  <w:vertAlign w:val="superscript"/>
                </w:rPr>
                <w:t>13</w:t>
              </w:r>
            </w:hyperlink>
            <w:r>
              <w:rPr>
                <w:sz w:val="24"/>
                <w:vertAlign w:val="superscript"/>
              </w:rPr>
              <w:t>]</w:t>
            </w:r>
            <w:r>
              <w:rPr>
                <w:sz w:val="24"/>
              </w:rPr>
              <w:fldChar w:fldCharType="end"/>
            </w:r>
            <w:r>
              <w:rPr>
                <w:rFonts w:hint="eastAsia"/>
                <w:sz w:val="24"/>
              </w:rPr>
              <w:t>。随着深度学习的兴起和发展，研究人员可以构建性能更好的更深层次的学习模型，以便更好地从大规模关联网络数据中提取有用和复杂的信息，提高</w:t>
            </w:r>
            <w:r>
              <w:rPr>
                <w:rFonts w:hint="eastAsia"/>
                <w:sz w:val="24"/>
              </w:rPr>
              <w:t>D</w:t>
            </w:r>
            <w:r>
              <w:rPr>
                <w:sz w:val="24"/>
              </w:rPr>
              <w:t>TI</w:t>
            </w:r>
            <w:r>
              <w:rPr>
                <w:rFonts w:hint="eastAsia"/>
                <w:sz w:val="24"/>
              </w:rPr>
              <w:t>预测的准确性。</w:t>
            </w:r>
          </w:p>
          <w:p w14:paraId="18CFCBA8" w14:textId="77777777" w:rsidR="00E22223" w:rsidRDefault="00000000">
            <w:pPr>
              <w:ind w:rightChars="21" w:right="44" w:firstLineChars="200" w:firstLine="480"/>
              <w:jc w:val="center"/>
              <w:rPr>
                <w:sz w:val="24"/>
              </w:rPr>
            </w:pPr>
            <w:r>
              <w:rPr>
                <w:rFonts w:hint="eastAsia"/>
                <w:noProof/>
                <w:sz w:val="24"/>
              </w:rPr>
              <w:drawing>
                <wp:inline distT="0" distB="0" distL="0" distR="0" wp14:anchorId="3DD5D017" wp14:editId="4E9CE662">
                  <wp:extent cx="3489960" cy="16306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extLst>
                              <a:ext uri="{28A0092B-C50C-407E-A947-70E740481C1C}">
                                <a14:useLocalDpi xmlns:a14="http://schemas.microsoft.com/office/drawing/2010/main" val="0"/>
                              </a:ext>
                            </a:extLst>
                          </a:blip>
                          <a:srcRect l="2312" t="2921" r="31518" b="55432"/>
                          <a:stretch>
                            <a:fillRect/>
                          </a:stretch>
                        </pic:blipFill>
                        <pic:spPr>
                          <a:xfrm>
                            <a:off x="0" y="0"/>
                            <a:ext cx="3489960" cy="1630680"/>
                          </a:xfrm>
                          <a:prstGeom prst="rect">
                            <a:avLst/>
                          </a:prstGeom>
                          <a:ln>
                            <a:noFill/>
                          </a:ln>
                        </pic:spPr>
                      </pic:pic>
                    </a:graphicData>
                  </a:graphic>
                </wp:inline>
              </w:drawing>
            </w:r>
          </w:p>
          <w:p w14:paraId="76C4B8D4" w14:textId="77777777" w:rsidR="00E22223" w:rsidRDefault="00000000">
            <w:pPr>
              <w:ind w:rightChars="21" w:right="44" w:firstLineChars="200" w:firstLine="480"/>
              <w:jc w:val="center"/>
              <w:rPr>
                <w:sz w:val="24"/>
              </w:rPr>
            </w:pPr>
            <w:r>
              <w:rPr>
                <w:rFonts w:hint="eastAsia"/>
                <w:noProof/>
                <w:sz w:val="24"/>
              </w:rPr>
              <w:lastRenderedPageBreak/>
              <w:drawing>
                <wp:inline distT="0" distB="0" distL="0" distR="0" wp14:anchorId="743F2A3F" wp14:editId="36449B43">
                  <wp:extent cx="4198620" cy="24409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extLst>
                              <a:ext uri="{28A0092B-C50C-407E-A947-70E740481C1C}">
                                <a14:useLocalDpi xmlns:a14="http://schemas.microsoft.com/office/drawing/2010/main" val="0"/>
                              </a:ext>
                            </a:extLst>
                          </a:blip>
                          <a:srcRect t="57390"/>
                          <a:stretch>
                            <a:fillRect/>
                          </a:stretch>
                        </pic:blipFill>
                        <pic:spPr>
                          <a:xfrm>
                            <a:off x="0" y="0"/>
                            <a:ext cx="4210124" cy="2447711"/>
                          </a:xfrm>
                          <a:prstGeom prst="rect">
                            <a:avLst/>
                          </a:prstGeom>
                          <a:ln>
                            <a:noFill/>
                          </a:ln>
                        </pic:spPr>
                      </pic:pic>
                    </a:graphicData>
                  </a:graphic>
                </wp:inline>
              </w:drawing>
            </w:r>
          </w:p>
          <w:p w14:paraId="73F3A42F" w14:textId="77777777" w:rsidR="00E22223" w:rsidRDefault="00000000">
            <w:pPr>
              <w:ind w:rightChars="21" w:right="44" w:firstLineChars="200" w:firstLine="480"/>
              <w:jc w:val="center"/>
              <w:rPr>
                <w:sz w:val="24"/>
              </w:rPr>
            </w:pPr>
            <w:r>
              <w:rPr>
                <w:rFonts w:hint="eastAsia"/>
                <w:sz w:val="24"/>
              </w:rPr>
              <w:t>图</w:t>
            </w:r>
            <w:r>
              <w:rPr>
                <w:rFonts w:hint="eastAsia"/>
                <w:sz w:val="24"/>
              </w:rPr>
              <w:t xml:space="preserve"> 1  </w:t>
            </w:r>
            <w:r>
              <w:rPr>
                <w:rFonts w:hint="eastAsia"/>
                <w:sz w:val="24"/>
              </w:rPr>
              <w:t>药物和靶点的对接模拟图及其网络图</w:t>
            </w:r>
            <w:r>
              <w:rPr>
                <w:sz w:val="24"/>
              </w:rPr>
              <w:fldChar w:fldCharType="begin"/>
            </w:r>
            <w:r>
              <w:rPr>
                <w:sz w:val="24"/>
              </w:rPr>
              <w:instrText xml:space="preserve"> ADDIN EN.CITE &lt;EndNote&gt;&lt;Cite&gt;&lt;Author&gt;Luo&lt;/Author&gt;&lt;Year&gt;2017&lt;/Year&gt;&lt;RecNum&gt;199&lt;/RecNum&gt;&lt;DisplayText&gt;&lt;style face="superscript"&gt;[14]&lt;/style&gt;&lt;/DisplayText&gt;&lt;record&gt;&lt;rec-number&gt;199&lt;/rec-number&gt;&lt;foreign-keys&gt;&lt;key app="EN" db-id="pxdpxsaxowe90texfxhpxdacr5xs055f20ze" timestamp="1665977889"&gt;199&lt;/key&gt;&lt;/foreign-keys&gt;&lt;ref-type name="Journal Article"&gt;17&lt;/ref-type&gt;&lt;contributors&gt;&lt;authors&gt;&lt;author&gt;Luo, Yunan&lt;/author&gt;&lt;author&gt;Zhao, Xinbin&lt;/author&gt;&lt;author&gt;Zhou, Jingtian&lt;/author&gt;&lt;author&gt;Yang, Jinglin&lt;/author&gt;&lt;author&gt;Zhang, Yanqing&lt;/author&gt;&lt;author&gt;Kuang, Wenhua&lt;/author&gt;&lt;author&gt;Peng, Jian&lt;/author&gt;&lt;author&gt;Chen, Ligong&lt;/author&gt;&lt;author&gt;Zeng, Jianyang&lt;/author&gt;&lt;/authors&gt;&lt;/contributors&gt;&lt;titles&gt;&lt;title&gt;A network integration approach for drug-target interaction prediction and computational drug repositioning from heterogeneous information&lt;/title&gt;&lt;secondary-title&gt;Nature Communications&lt;/secondary-title&gt;&lt;/titles&gt;&lt;periodical&gt;&lt;full-title&gt;Nature Communications&lt;/full-title&gt;&lt;/periodical&gt;&lt;pages&gt;573&lt;/pages&gt;&lt;volume&gt;8&lt;/volume&gt;&lt;dates&gt;&lt;year&gt;2017&lt;/year&gt;&lt;pub-dates&gt;&lt;date&gt;Sep 18&lt;/date&gt;&lt;/pub-dates&gt;&lt;/dates&gt;&lt;isbn&gt;2041-1723&lt;/isbn&gt;&lt;accession-num&gt;WOS:000411024900009&lt;/accession-num&gt;&lt;urls&gt;&lt;related-urls&gt;&lt;url&gt;&amp;lt;Go to ISI&amp;gt;://WOS:000411024900009&lt;/url&gt;&lt;/related-urls&gt;&lt;/urls&gt;&lt;custom7&gt;573&lt;/custom7&gt;&lt;electronic-resource-num&gt;10.1038/s41467-017-00680-8&lt;/electronic-resource-num&gt;&lt;/record&gt;&lt;/Cite&gt;&lt;/EndNote&gt;</w:instrText>
            </w:r>
            <w:r>
              <w:rPr>
                <w:sz w:val="24"/>
              </w:rPr>
              <w:fldChar w:fldCharType="separate"/>
            </w:r>
            <w:r>
              <w:rPr>
                <w:sz w:val="24"/>
                <w:vertAlign w:val="superscript"/>
              </w:rPr>
              <w:t>[</w:t>
            </w:r>
            <w:hyperlink w:anchor="_ENREF_14" w:tooltip="Luo, 2017 #199" w:history="1">
              <w:r>
                <w:rPr>
                  <w:sz w:val="24"/>
                  <w:vertAlign w:val="superscript"/>
                </w:rPr>
                <w:t>14</w:t>
              </w:r>
            </w:hyperlink>
            <w:r>
              <w:rPr>
                <w:sz w:val="24"/>
                <w:vertAlign w:val="superscript"/>
              </w:rPr>
              <w:t>]</w:t>
            </w:r>
            <w:r>
              <w:rPr>
                <w:sz w:val="24"/>
              </w:rPr>
              <w:fldChar w:fldCharType="end"/>
            </w:r>
            <w:r>
              <w:rPr>
                <w:rFonts w:hint="eastAsia"/>
                <w:sz w:val="24"/>
              </w:rPr>
              <w:t>。（</w:t>
            </w:r>
            <w:r>
              <w:rPr>
                <w:rFonts w:hint="eastAsia"/>
                <w:sz w:val="24"/>
              </w:rPr>
              <w:t>A</w:t>
            </w:r>
            <w:r>
              <w:rPr>
                <w:rFonts w:hint="eastAsia"/>
                <w:sz w:val="24"/>
              </w:rPr>
              <w:t>）药物分子和靶点结构图；（</w:t>
            </w:r>
            <w:r>
              <w:rPr>
                <w:rFonts w:hint="eastAsia"/>
                <w:sz w:val="24"/>
              </w:rPr>
              <w:t>B</w:t>
            </w:r>
            <w:r>
              <w:rPr>
                <w:rFonts w:hint="eastAsia"/>
                <w:sz w:val="24"/>
              </w:rPr>
              <w:t>）药物靶点网络可视化图。</w:t>
            </w:r>
            <w:r>
              <w:rPr>
                <w:rFonts w:hint="eastAsia"/>
                <w:sz w:val="24"/>
              </w:rPr>
              <w:t xml:space="preserve"> </w:t>
            </w:r>
          </w:p>
          <w:p w14:paraId="64EE92FD" w14:textId="77777777" w:rsidR="00E22223" w:rsidRDefault="00E22223">
            <w:pPr>
              <w:ind w:rightChars="21" w:right="44" w:firstLineChars="200" w:firstLine="480"/>
              <w:jc w:val="center"/>
              <w:rPr>
                <w:sz w:val="24"/>
              </w:rPr>
            </w:pPr>
          </w:p>
          <w:p w14:paraId="2F89CDC0" w14:textId="77777777" w:rsidR="00E22223" w:rsidRDefault="00000000">
            <w:pPr>
              <w:ind w:rightChars="21" w:right="44" w:firstLineChars="200" w:firstLine="480"/>
              <w:rPr>
                <w:sz w:val="24"/>
              </w:rPr>
            </w:pPr>
            <w:r>
              <w:rPr>
                <w:sz w:val="24"/>
              </w:rPr>
              <w:t>Transformer</w:t>
            </w:r>
            <w:r>
              <w:rPr>
                <w:rFonts w:hint="eastAsia"/>
                <w:sz w:val="24"/>
              </w:rPr>
              <w:t>模型中抛弃了传统的卷积神经网络（</w:t>
            </w:r>
            <w:r>
              <w:rPr>
                <w:rFonts w:hint="eastAsia"/>
                <w:sz w:val="24"/>
              </w:rPr>
              <w:t>CNN</w:t>
            </w:r>
            <w:r>
              <w:rPr>
                <w:rFonts w:hint="eastAsia"/>
                <w:sz w:val="24"/>
              </w:rPr>
              <w:t>）和循环神经网络（</w:t>
            </w:r>
            <w:r>
              <w:rPr>
                <w:rFonts w:hint="eastAsia"/>
                <w:sz w:val="24"/>
              </w:rPr>
              <w:t>RNN</w:t>
            </w:r>
            <w:r>
              <w:rPr>
                <w:rFonts w:hint="eastAsia"/>
                <w:sz w:val="24"/>
              </w:rPr>
              <w:t>），整个网络结构完全是由注意力（</w:t>
            </w:r>
            <w:r>
              <w:rPr>
                <w:rFonts w:hint="eastAsia"/>
                <w:sz w:val="24"/>
              </w:rPr>
              <w:t>attention</w:t>
            </w:r>
            <w:r>
              <w:rPr>
                <w:rFonts w:hint="eastAsia"/>
                <w:sz w:val="24"/>
              </w:rPr>
              <w:t>）机制组成</w:t>
            </w:r>
            <w:r>
              <w:rPr>
                <w:sz w:val="24"/>
              </w:rPr>
              <w:fldChar w:fldCharType="begin"/>
            </w:r>
            <w:r>
              <w:rPr>
                <w:sz w:val="24"/>
              </w:rPr>
              <w:instrText xml:space="preserve"> ADDIN EN.CITE &lt;EndNote&gt;&lt;Cite&gt;&lt;Author&gt;Vaswani&lt;/Author&gt;&lt;Year&gt;2017&lt;/Year&gt;&lt;RecNum&gt;204&lt;/RecNum&gt;&lt;DisplayText&gt;&lt;style face="superscript"&gt;[15]&lt;/style&gt;&lt;/DisplayText&gt;&lt;record&gt;&lt;rec-number&gt;204&lt;/rec-number&gt;&lt;foreign-keys&gt;&lt;key app="EN" db-id="pxdpxsaxowe90texfxhpxdacr5xs055f20ze" timestamp="1665990538"&gt;204&lt;/key&gt;&lt;/foreign-keys&gt;&lt;ref-type name="Conference Paper"&gt;47&lt;/ref-type&gt;&lt;contributors&gt;&lt;authors&gt;&lt;author&gt;Ashish Vaswani&lt;/author&gt;&lt;author&gt;Noam Shazeer&lt;/author&gt;&lt;author&gt;Niki Parmar&lt;/author&gt;&lt;author&gt;Jakob Uszkoreit&lt;/author&gt;&lt;author&gt;Llion Jones&lt;/author&gt;&lt;author&gt;Aidan N. Gomez&lt;/author&gt;&lt;author&gt;Łukasz Kaiser&lt;/author&gt;&lt;author&gt;Illia Polosukhin&lt;/author&gt;&lt;/authors&gt;&lt;/contributors&gt;&lt;titles&gt;&lt;title&gt;Attention is all you need&lt;/title&gt;&lt;secondary-title&gt;Proceedings of the 31st International Conference on Neural Information Processing Systems&lt;/secondary-title&gt;&lt;/titles&gt;&lt;pages&gt;6000–6010&lt;/pages&gt;&lt;dates&gt;&lt;year&gt;2017&lt;/year&gt;&lt;/dates&gt;&lt;pub-location&gt;Long Beach, California, USA&lt;/pub-location&gt;&lt;publisher&gt;Curran Associates Inc.&lt;/publisher&gt;&lt;urls&gt;&lt;/urls&gt;&lt;/record&gt;&lt;/Cite&gt;&lt;/EndNote&gt;</w:instrText>
            </w:r>
            <w:r>
              <w:rPr>
                <w:sz w:val="24"/>
              </w:rPr>
              <w:fldChar w:fldCharType="separate"/>
            </w:r>
            <w:r>
              <w:rPr>
                <w:sz w:val="24"/>
                <w:vertAlign w:val="superscript"/>
              </w:rPr>
              <w:t>[</w:t>
            </w:r>
            <w:hyperlink w:anchor="_ENREF_15" w:tooltip="Vaswani, 2017 #204" w:history="1">
              <w:r>
                <w:rPr>
                  <w:sz w:val="24"/>
                  <w:vertAlign w:val="superscript"/>
                </w:rPr>
                <w:t>15</w:t>
              </w:r>
            </w:hyperlink>
            <w:r>
              <w:rPr>
                <w:sz w:val="24"/>
                <w:vertAlign w:val="superscript"/>
              </w:rPr>
              <w:t>]</w:t>
            </w:r>
            <w:r>
              <w:rPr>
                <w:sz w:val="24"/>
              </w:rPr>
              <w:fldChar w:fldCharType="end"/>
            </w:r>
            <w:r>
              <w:rPr>
                <w:rFonts w:hint="eastAsia"/>
                <w:sz w:val="24"/>
              </w:rPr>
              <w:t>，对于长序列信息具有很好的提取能力。</w:t>
            </w:r>
            <w:r>
              <w:rPr>
                <w:rFonts w:hint="eastAsia"/>
                <w:sz w:val="24"/>
              </w:rPr>
              <w:t>BERT</w:t>
            </w:r>
            <w:r>
              <w:rPr>
                <w:rFonts w:hint="eastAsia"/>
                <w:sz w:val="24"/>
              </w:rPr>
              <w:t>（</w:t>
            </w:r>
            <w:r>
              <w:rPr>
                <w:rFonts w:hint="eastAsia"/>
                <w:sz w:val="24"/>
              </w:rPr>
              <w:t>Bidirectional Encoder Representation from Transformers</w:t>
            </w:r>
            <w:r>
              <w:rPr>
                <w:rFonts w:hint="eastAsia"/>
                <w:sz w:val="24"/>
              </w:rPr>
              <w:t>）是基于双向</w:t>
            </w:r>
            <w:r>
              <w:rPr>
                <w:rFonts w:hint="eastAsia"/>
                <w:sz w:val="24"/>
              </w:rPr>
              <w:t>Transformer</w:t>
            </w:r>
            <w:r>
              <w:rPr>
                <w:rFonts w:hint="eastAsia"/>
                <w:sz w:val="24"/>
              </w:rPr>
              <w:t>编码器的预训练模型，能够同时获取序列前后两个方向上的信息。该模型的主要创新点是运用了</w:t>
            </w:r>
            <w:r>
              <w:rPr>
                <w:rFonts w:hint="eastAsia"/>
                <w:sz w:val="24"/>
              </w:rPr>
              <w:t>Transfromer</w:t>
            </w:r>
            <w:r>
              <w:rPr>
                <w:rFonts w:hint="eastAsia"/>
                <w:sz w:val="24"/>
              </w:rPr>
              <w:t>机制和无监督学习的预训练方法，易于使用，稳定性强。</w:t>
            </w:r>
          </w:p>
          <w:p w14:paraId="54A7106C" w14:textId="77777777" w:rsidR="00E22223" w:rsidRDefault="00000000">
            <w:pPr>
              <w:ind w:rightChars="21" w:right="44" w:firstLineChars="200" w:firstLine="480"/>
              <w:rPr>
                <w:sz w:val="24"/>
              </w:rPr>
            </w:pPr>
            <w:r>
              <w:rPr>
                <w:rFonts w:hint="eastAsia"/>
                <w:sz w:val="24"/>
              </w:rPr>
              <w:t>为了处理复杂的图形数据，许多研究人员借鉴了图像深度学习的思想来设计神经网络结构。图神经网络（</w:t>
            </w:r>
            <w:r>
              <w:rPr>
                <w:rFonts w:hint="eastAsia"/>
                <w:sz w:val="24"/>
              </w:rPr>
              <w:t>GNN</w:t>
            </w:r>
            <w:r>
              <w:rPr>
                <w:rFonts w:hint="eastAsia"/>
                <w:sz w:val="24"/>
              </w:rPr>
              <w:t>）的概念、操作和模型一直在不断地进化和发展。图神经网络在提取图形嵌入方面表现出强大的性能，将深度学习的应用扩展到了图结构领域，并在药物设计和发现的各个步骤中取得了良好的性能</w:t>
            </w:r>
            <w:r>
              <w:rPr>
                <w:sz w:val="24"/>
              </w:rPr>
              <w:fldChar w:fldCharType="begin">
                <w:fldData xml:space="preserve">PEVuZE5vdGU+PENpdGU+PEF1dGhvcj5aaGFuZzwvQXV0aG9yPjxZZWFyPjIwMjI8L1llYXI+PFJl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</w:fldData>
              </w:fldChar>
            </w:r>
            <w:r>
              <w:rPr>
                <w:sz w:val="24"/>
              </w:rPr>
              <w:instrText xml:space="preserve"> ADDIN EN.CITE </w:instrText>
            </w:r>
            <w:r>
              <w:rPr>
                <w:sz w:val="24"/>
              </w:rPr>
              <w:fldChar w:fldCharType="begin">
                <w:fldData xml:space="preserve">PEVuZE5vdGU+PENpdGU+PEF1dGhvcj5aaGFuZzwvQXV0aG9yPjxZZWFyPjIwMjI8L1llYXI+PFJl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vertAlign w:val="superscript"/>
              </w:rPr>
              <w:t>[</w:t>
            </w:r>
            <w:hyperlink w:anchor="_ENREF_16" w:tooltip="Zhang, 2022 #200" w:history="1">
              <w:r>
                <w:rPr>
                  <w:sz w:val="24"/>
                  <w:vertAlign w:val="superscript"/>
                </w:rPr>
                <w:t>16-18</w:t>
              </w:r>
            </w:hyperlink>
            <w:r>
              <w:rPr>
                <w:sz w:val="24"/>
                <w:vertAlign w:val="superscript"/>
              </w:rPr>
              <w:t>]</w:t>
            </w:r>
            <w:r>
              <w:rPr>
                <w:sz w:val="24"/>
              </w:rPr>
              <w:fldChar w:fldCharType="end"/>
            </w:r>
            <w:r>
              <w:rPr>
                <w:rFonts w:hint="eastAsia"/>
                <w:sz w:val="24"/>
              </w:rPr>
              <w:t>。其快速发展促使我们将其与</w:t>
            </w:r>
            <w:r>
              <w:rPr>
                <w:rFonts w:hint="eastAsia"/>
                <w:sz w:val="24"/>
              </w:rPr>
              <w:t>D</w:t>
            </w:r>
            <w:r>
              <w:rPr>
                <w:sz w:val="24"/>
              </w:rPr>
              <w:t>TI</w:t>
            </w:r>
            <w:r>
              <w:rPr>
                <w:rFonts w:hint="eastAsia"/>
                <w:sz w:val="24"/>
              </w:rPr>
              <w:t>预测相结合，从复杂网络中提取有用的信息以更好地进行</w:t>
            </w:r>
            <w:r>
              <w:rPr>
                <w:rFonts w:hint="eastAsia"/>
                <w:sz w:val="24"/>
              </w:rPr>
              <w:t>D</w:t>
            </w:r>
            <w:r>
              <w:rPr>
                <w:sz w:val="24"/>
              </w:rPr>
              <w:t>TI</w:t>
            </w:r>
            <w:r>
              <w:rPr>
                <w:rFonts w:hint="eastAsia"/>
                <w:sz w:val="24"/>
              </w:rPr>
              <w:t>预测。图形卷积神经网络在提取嵌入图形方面表现出很强的性能，其与药物靶点预测相结合，从复杂网络中提取有用信息可以更好地预测药物靶点。</w:t>
            </w:r>
          </w:p>
          <w:p w14:paraId="282DD8A0" w14:textId="77777777" w:rsidR="00E22223" w:rsidRDefault="00000000">
            <w:pPr>
              <w:ind w:rightChars="21" w:right="44" w:firstLineChars="200" w:firstLine="480"/>
              <w:rPr>
                <w:sz w:val="24"/>
              </w:rPr>
            </w:pPr>
            <w:r>
              <w:rPr>
                <w:rFonts w:hint="eastAsia"/>
                <w:sz w:val="24"/>
              </w:rPr>
              <w:t>一些基于</w:t>
            </w:r>
            <w:r>
              <w:rPr>
                <w:rFonts w:hint="eastAsia"/>
                <w:sz w:val="24"/>
              </w:rPr>
              <w:t>GNN</w:t>
            </w:r>
            <w:r>
              <w:rPr>
                <w:rFonts w:hint="eastAsia"/>
                <w:sz w:val="24"/>
              </w:rPr>
              <w:t>的方法利用异构生物数据预测</w:t>
            </w:r>
            <w:r>
              <w:rPr>
                <w:rFonts w:hint="eastAsia"/>
                <w:sz w:val="24"/>
              </w:rPr>
              <w:t>DTI</w:t>
            </w:r>
            <w:r>
              <w:rPr>
                <w:rFonts w:hint="eastAsia"/>
                <w:sz w:val="24"/>
              </w:rPr>
              <w:t>。其方法是将异构性的生物数据构建成多个与药物和靶点相关的网络，其中节点是各种生物实体（即药物、靶点、疾病、副作用等）</w:t>
            </w:r>
            <w:r>
              <w:rPr>
                <w:rFonts w:hint="eastAsia"/>
                <w:sz w:val="24"/>
              </w:rPr>
              <w:t>,</w:t>
            </w:r>
            <w:r>
              <w:rPr>
                <w:rFonts w:hint="eastAsia"/>
                <w:sz w:val="24"/>
              </w:rPr>
              <w:t>而边缘是这些生物实体之间的相互关系。然后将</w:t>
            </w:r>
            <w:r>
              <w:rPr>
                <w:rFonts w:hint="eastAsia"/>
                <w:sz w:val="24"/>
              </w:rPr>
              <w:t>DTI</w:t>
            </w:r>
            <w:r>
              <w:rPr>
                <w:rFonts w:hint="eastAsia"/>
                <w:sz w:val="24"/>
              </w:rPr>
              <w:t>预测作为一个链路预测问题。然而，这些方法在以下方面存在缺陷</w:t>
            </w:r>
            <w:r>
              <w:rPr>
                <w:rFonts w:hint="eastAsia"/>
                <w:sz w:val="24"/>
              </w:rPr>
              <w:t>:</w:t>
            </w:r>
          </w:p>
          <w:p w14:paraId="01DC405B" w14:textId="77777777" w:rsidR="00E22223" w:rsidRDefault="00000000">
            <w:pPr>
              <w:pStyle w:val="af"/>
              <w:numPr>
                <w:ilvl w:val="0"/>
                <w:numId w:val="3"/>
              </w:numPr>
              <w:ind w:rightChars="21" w:right="44" w:firstLineChars="0"/>
              <w:rPr>
                <w:sz w:val="24"/>
              </w:rPr>
            </w:pPr>
            <w:r>
              <w:rPr>
                <w:rFonts w:hint="eastAsia"/>
                <w:sz w:val="24"/>
              </w:rPr>
              <w:t>以相同的方式分别考虑每个关系网络（例如，药物</w:t>
            </w:r>
            <w:r>
              <w:rPr>
                <w:rFonts w:hint="eastAsia"/>
                <w:sz w:val="24"/>
              </w:rPr>
              <w:t>-</w:t>
            </w:r>
            <w:r>
              <w:rPr>
                <w:rFonts w:hint="eastAsia"/>
                <w:sz w:val="24"/>
              </w:rPr>
              <w:t>疾病网络），忽略了不同关系网络之间的结构依赖性，以及跨网络中不同的语义关系，如药物</w:t>
            </w:r>
            <w:r>
              <w:rPr>
                <w:rFonts w:hint="eastAsia"/>
                <w:sz w:val="24"/>
              </w:rPr>
              <w:t>-</w:t>
            </w:r>
            <w:r>
              <w:rPr>
                <w:rFonts w:hint="eastAsia"/>
                <w:sz w:val="24"/>
              </w:rPr>
              <w:t>靶点</w:t>
            </w:r>
            <w:r>
              <w:rPr>
                <w:rFonts w:hint="eastAsia"/>
                <w:sz w:val="24"/>
              </w:rPr>
              <w:t>-</w:t>
            </w:r>
            <w:r>
              <w:rPr>
                <w:rFonts w:hint="eastAsia"/>
                <w:sz w:val="24"/>
              </w:rPr>
              <w:t>疾病，这限制了它们区分不同生物实体的结构作用的能力。</w:t>
            </w:r>
          </w:p>
          <w:p w14:paraId="799D8872" w14:textId="77777777" w:rsidR="00E22223" w:rsidRDefault="00000000">
            <w:pPr>
              <w:pStyle w:val="af"/>
              <w:numPr>
                <w:ilvl w:val="0"/>
                <w:numId w:val="3"/>
              </w:numPr>
              <w:ind w:rightChars="21" w:right="44" w:firstLineChars="0"/>
              <w:rPr>
                <w:sz w:val="24"/>
              </w:rPr>
            </w:pPr>
            <w:r>
              <w:rPr>
                <w:rFonts w:hint="eastAsia"/>
                <w:sz w:val="24"/>
              </w:rPr>
              <w:t>现有的工作，例如</w:t>
            </w:r>
            <w:r>
              <w:rPr>
                <w:rFonts w:hint="eastAsia"/>
                <w:sz w:val="24"/>
              </w:rPr>
              <w:t>NeoDTI</w:t>
            </w:r>
            <w:r>
              <w:rPr>
                <w:rFonts w:hint="eastAsia"/>
                <w:sz w:val="24"/>
              </w:rPr>
              <w:t>，局限于一阶相邻节点的接受域，并且不能在单个</w:t>
            </w:r>
            <w:r>
              <w:rPr>
                <w:rFonts w:hint="eastAsia"/>
                <w:sz w:val="24"/>
              </w:rPr>
              <w:t>GNN</w:t>
            </w:r>
            <w:r>
              <w:rPr>
                <w:rFonts w:hint="eastAsia"/>
                <w:sz w:val="24"/>
              </w:rPr>
              <w:t>层中捕获远程依赖关系。虽然叠加多个</w:t>
            </w:r>
            <w:r>
              <w:rPr>
                <w:rFonts w:hint="eastAsia"/>
                <w:sz w:val="24"/>
              </w:rPr>
              <w:t>GNN</w:t>
            </w:r>
            <w:r>
              <w:rPr>
                <w:rFonts w:hint="eastAsia"/>
                <w:sz w:val="24"/>
              </w:rPr>
              <w:t>层增加了接受域，但这种深层的模型存在特征过平滑的瓶颈。</w:t>
            </w:r>
          </w:p>
          <w:p w14:paraId="2B886FC2" w14:textId="77777777" w:rsidR="00E22223" w:rsidRDefault="00000000">
            <w:pPr>
              <w:pStyle w:val="af"/>
              <w:numPr>
                <w:ilvl w:val="0"/>
                <w:numId w:val="3"/>
              </w:numPr>
              <w:ind w:rightChars="21" w:right="44" w:firstLineChars="0"/>
              <w:rPr>
                <w:sz w:val="24"/>
              </w:rPr>
            </w:pPr>
            <w:r>
              <w:rPr>
                <w:rFonts w:hint="eastAsia"/>
                <w:sz w:val="24"/>
              </w:rPr>
              <w:t>为齐次图建立了图卷积神经网络和图注意力神经网络。它们的操作是基于同质性的假设，即连接的节点往往具有相似的标签。异构生物数据具有复杂的结构、不同的节点类型和边缘类型，这给生物实体节点表示学习带来了挑战。因此，直接将</w:t>
            </w:r>
            <w:r>
              <w:rPr>
                <w:rFonts w:hint="eastAsia"/>
                <w:sz w:val="24"/>
              </w:rPr>
              <w:t>GCN/GAT</w:t>
            </w:r>
            <w:r>
              <w:rPr>
                <w:rFonts w:hint="eastAsia"/>
                <w:sz w:val="24"/>
              </w:rPr>
              <w:t>应用于生物</w:t>
            </w:r>
            <w:r>
              <w:rPr>
                <w:rFonts w:hint="eastAsia"/>
                <w:sz w:val="24"/>
              </w:rPr>
              <w:lastRenderedPageBreak/>
              <w:t>关系网络不可避免地限制了图结构的学习能力。</w:t>
            </w:r>
          </w:p>
          <w:p w14:paraId="2C343713" w14:textId="77777777" w:rsidR="00E22223" w:rsidRDefault="00E22223">
            <w:pPr>
              <w:ind w:rightChars="21" w:right="44" w:firstLineChars="200" w:firstLine="480"/>
              <w:rPr>
                <w:sz w:val="24"/>
              </w:rPr>
            </w:pPr>
          </w:p>
          <w:p w14:paraId="6A31A652" w14:textId="77777777" w:rsidR="00E22223" w:rsidRDefault="00000000">
            <w:pPr>
              <w:ind w:rightChars="21" w:right="44" w:firstLineChars="200" w:firstLine="480"/>
              <w:rPr>
                <w:sz w:val="24"/>
              </w:rPr>
            </w:pPr>
            <w:r>
              <w:rPr>
                <w:rFonts w:hint="eastAsia"/>
                <w:sz w:val="24"/>
              </w:rPr>
              <w:t>基于上述抗新冠病毒药物开发中出现的问题与缺陷，本文基于对相关工作的分析，提出了一种应用</w:t>
            </w:r>
            <w:r>
              <w:rPr>
                <w:rFonts w:hint="eastAsia"/>
                <w:sz w:val="24"/>
              </w:rPr>
              <w:t>B</w:t>
            </w:r>
            <w:r>
              <w:rPr>
                <w:sz w:val="24"/>
              </w:rPr>
              <w:t>ERT</w:t>
            </w:r>
            <w:r>
              <w:rPr>
                <w:rFonts w:hint="eastAsia"/>
                <w:sz w:val="24"/>
              </w:rPr>
              <w:t>表示学习和图神经网络的抗新冠病毒药物预筛选模型。从而对抗新冠病毒药物的预测技术进行优化。</w:t>
            </w:r>
          </w:p>
          <w:p w14:paraId="0DC69080" w14:textId="77777777" w:rsidR="00E22223" w:rsidRDefault="00E22223">
            <w:pPr>
              <w:ind w:rightChars="21" w:right="44" w:firstLineChars="200" w:firstLine="480"/>
              <w:rPr>
                <w:sz w:val="24"/>
              </w:rPr>
            </w:pPr>
          </w:p>
          <w:p w14:paraId="15A249E1" w14:textId="77777777" w:rsidR="00E22223" w:rsidRDefault="00000000">
            <w:pPr>
              <w:pStyle w:val="af1"/>
              <w:numPr>
                <w:ilvl w:val="0"/>
                <w:numId w:val="2"/>
              </w:numPr>
            </w:pPr>
            <w:r>
              <w:rPr>
                <w:rFonts w:hint="eastAsia"/>
              </w:rPr>
              <w:t>研究内容</w:t>
            </w:r>
          </w:p>
          <w:p w14:paraId="0DF90C3E" w14:textId="77777777" w:rsidR="00E22223" w:rsidRDefault="00000000">
            <w:pPr>
              <w:ind w:rightChars="21" w:right="44" w:firstLineChars="200" w:firstLine="480"/>
              <w:rPr>
                <w:sz w:val="24"/>
              </w:rPr>
            </w:pPr>
            <w:r>
              <w:rPr>
                <w:rFonts w:hint="eastAsia"/>
                <w:sz w:val="24"/>
              </w:rPr>
              <w:t>本课题主要进行抗新冠病毒药物预筛选技术的优化，我们期望开发一种精确度高、预测性能好的基于</w:t>
            </w:r>
            <w:r>
              <w:rPr>
                <w:rFonts w:hint="eastAsia"/>
                <w:sz w:val="24"/>
              </w:rPr>
              <w:t>B</w:t>
            </w:r>
            <w:r>
              <w:rPr>
                <w:sz w:val="24"/>
              </w:rPr>
              <w:t>ERT</w:t>
            </w:r>
            <w:r>
              <w:rPr>
                <w:rFonts w:hint="eastAsia"/>
                <w:sz w:val="24"/>
              </w:rPr>
              <w:t>表示学习的抗新冠病毒药物预筛选优化模型。采用</w:t>
            </w:r>
            <w:r>
              <w:rPr>
                <w:rFonts w:hint="eastAsia"/>
                <w:sz w:val="24"/>
              </w:rPr>
              <w:t>B</w:t>
            </w:r>
            <w:r>
              <w:rPr>
                <w:sz w:val="24"/>
              </w:rPr>
              <w:t>ERT</w:t>
            </w:r>
            <w:r>
              <w:rPr>
                <w:rFonts w:hint="eastAsia"/>
                <w:sz w:val="24"/>
              </w:rPr>
              <w:t>模型的</w:t>
            </w:r>
            <w:r>
              <w:rPr>
                <w:rFonts w:hint="eastAsia"/>
                <w:sz w:val="24"/>
              </w:rPr>
              <w:t>Transformer</w:t>
            </w:r>
            <w:r>
              <w:rPr>
                <w:rFonts w:hint="eastAsia"/>
                <w:sz w:val="24"/>
              </w:rPr>
              <w:t>编码器进行节点表达，形成由</w:t>
            </w:r>
            <w:r>
              <w:rPr>
                <w:rFonts w:hint="eastAsia"/>
                <w:sz w:val="24"/>
              </w:rPr>
              <w:t>12</w:t>
            </w:r>
            <w:r>
              <w:rPr>
                <w:rFonts w:hint="eastAsia"/>
                <w:sz w:val="24"/>
              </w:rPr>
              <w:t>种不同类型的关系网络组成的异构网络，利用图卷积神经网络自动学习复杂异构关系网络的邻域信息，并结合注意力机制反映不同类型邻域信息之和的重要性，得到每个节点的表示特征。应用网络拓扑重构提取关系异构网络中的特征表示，探究</w:t>
            </w:r>
            <w:r>
              <w:rPr>
                <w:rFonts w:hint="eastAsia"/>
                <w:sz w:val="24"/>
              </w:rPr>
              <w:t>12</w:t>
            </w:r>
            <w:r>
              <w:rPr>
                <w:rFonts w:hint="eastAsia"/>
                <w:sz w:val="24"/>
              </w:rPr>
              <w:t>种关系网络不同组合对于模型的影响。基于</w:t>
            </w:r>
            <w:r>
              <w:rPr>
                <w:rFonts w:hint="eastAsia"/>
                <w:sz w:val="24"/>
              </w:rPr>
              <w:t>S</w:t>
            </w:r>
            <w:r>
              <w:rPr>
                <w:sz w:val="24"/>
              </w:rPr>
              <w:t>ARS-C</w:t>
            </w:r>
            <w:r>
              <w:rPr>
                <w:rFonts w:hint="eastAsia"/>
                <w:sz w:val="24"/>
              </w:rPr>
              <w:t>o</w:t>
            </w:r>
            <w:r>
              <w:rPr>
                <w:sz w:val="24"/>
              </w:rPr>
              <w:t>V</w:t>
            </w:r>
            <w:r>
              <w:rPr>
                <w:rFonts w:hint="eastAsia"/>
                <w:sz w:val="24"/>
              </w:rPr>
              <w:t>-2</w:t>
            </w:r>
            <w:r>
              <w:rPr>
                <w:rFonts w:hint="eastAsia"/>
                <w:sz w:val="24"/>
              </w:rPr>
              <w:t>相关靶点，筛选出可能对新冠肺炎治疗有用的药物并结合现有药物验证抗新冠病毒药物筛选结果正确性。以端到端的方式训练模型，有效更新模型参数，形成更先进的抗新冠病毒药物的优化筛选方案。</w:t>
            </w:r>
          </w:p>
          <w:p w14:paraId="26574F49" w14:textId="77777777" w:rsidR="00E22223" w:rsidRDefault="00E22223">
            <w:pPr>
              <w:pStyle w:val="af"/>
              <w:ind w:left="709" w:rightChars="21" w:right="44" w:firstLineChars="0" w:firstLine="0"/>
              <w:rPr>
                <w:sz w:val="24"/>
              </w:rPr>
            </w:pPr>
          </w:p>
          <w:p w14:paraId="7E897629" w14:textId="77777777" w:rsidR="00E22223" w:rsidRDefault="00000000">
            <w:pPr>
              <w:pStyle w:val="af1"/>
              <w:numPr>
                <w:ilvl w:val="0"/>
                <w:numId w:val="4"/>
              </w:numPr>
              <w:ind w:left="709" w:hanging="709"/>
            </w:pPr>
            <w:r>
              <w:rPr>
                <w:rFonts w:hint="eastAsia"/>
              </w:rPr>
              <w:t>目的意义</w:t>
            </w:r>
          </w:p>
          <w:p w14:paraId="7A871081" w14:textId="77777777" w:rsidR="00E22223" w:rsidRDefault="00000000">
            <w:pPr>
              <w:ind w:rightChars="21" w:right="44" w:firstLineChars="200" w:firstLine="480"/>
              <w:rPr>
                <w:sz w:val="24"/>
              </w:rPr>
            </w:pPr>
            <w:r>
              <w:rPr>
                <w:rFonts w:hint="eastAsia"/>
                <w:sz w:val="24"/>
              </w:rPr>
              <w:t>目前已有多种针对抗新冠病毒</w:t>
            </w:r>
            <w:r>
              <w:rPr>
                <w:rFonts w:hint="eastAsia"/>
                <w:sz w:val="24"/>
              </w:rPr>
              <w:t>DTI</w:t>
            </w:r>
            <w:r>
              <w:rPr>
                <w:rFonts w:hint="eastAsia"/>
                <w:sz w:val="24"/>
              </w:rPr>
              <w:t>预测模型的研究，但仍缺乏一款操作简便，性能优异，准确度高的抗新冠病毒药物预筛选优化模型。本项目针对存在抗新冠病毒药物预测的不足之处，采用</w:t>
            </w:r>
            <w:r>
              <w:rPr>
                <w:sz w:val="24"/>
              </w:rPr>
              <w:t>BERT</w:t>
            </w:r>
            <w:r>
              <w:rPr>
                <w:rFonts w:hint="eastAsia"/>
                <w:sz w:val="24"/>
              </w:rPr>
              <w:t>表示学习和图神经网络，实现抗新冠病毒药物预筛选技术的优化，从而提高预筛选的准确性，科学性和简便性，提升模型适用性和可扩展性，从而作为药物开发的良好辅助工具。</w:t>
            </w:r>
          </w:p>
          <w:p w14:paraId="2A9130C2" w14:textId="77777777" w:rsidR="00E22223" w:rsidRDefault="00000000">
            <w:pPr>
              <w:ind w:rightChars="21" w:right="44" w:firstLineChars="200" w:firstLine="480"/>
              <w:rPr>
                <w:sz w:val="24"/>
              </w:rPr>
            </w:pPr>
            <w:r>
              <w:rPr>
                <w:rFonts w:hint="eastAsia"/>
                <w:sz w:val="24"/>
              </w:rPr>
              <w:t>本项目通过完善抗新冠病毒的药物预筛选技术，辅助</w:t>
            </w:r>
            <w:r>
              <w:rPr>
                <w:rFonts w:hint="eastAsia"/>
                <w:sz w:val="24"/>
              </w:rPr>
              <w:t>COVID-19</w:t>
            </w:r>
            <w:r>
              <w:rPr>
                <w:rFonts w:hint="eastAsia"/>
                <w:sz w:val="24"/>
              </w:rPr>
              <w:t>的医学研究，优化现有的</w:t>
            </w:r>
            <w:r>
              <w:rPr>
                <w:rFonts w:hint="eastAsia"/>
                <w:sz w:val="24"/>
              </w:rPr>
              <w:t>DTI</w:t>
            </w:r>
            <w:r>
              <w:rPr>
                <w:rFonts w:hint="eastAsia"/>
                <w:sz w:val="24"/>
              </w:rPr>
              <w:t>预测模型，为抗新冠病毒的药物研究提供更为精确的预测方案，降低经济损耗，加速</w:t>
            </w:r>
            <w:r>
              <w:rPr>
                <w:rFonts w:hint="eastAsia"/>
                <w:sz w:val="24"/>
              </w:rPr>
              <w:t>C</w:t>
            </w:r>
            <w:r>
              <w:rPr>
                <w:sz w:val="24"/>
              </w:rPr>
              <w:t>OVID-19</w:t>
            </w:r>
            <w:r>
              <w:rPr>
                <w:rFonts w:hint="eastAsia"/>
                <w:sz w:val="24"/>
              </w:rPr>
              <w:t>药物研发进程，改善研究人员对于预测模型缺知识、难使用的操作问题，将改进后的融合</w:t>
            </w:r>
            <w:r>
              <w:rPr>
                <w:sz w:val="24"/>
              </w:rPr>
              <w:t>BERT</w:t>
            </w:r>
            <w:r>
              <w:rPr>
                <w:rFonts w:hint="eastAsia"/>
                <w:sz w:val="24"/>
              </w:rPr>
              <w:t>表示学习的药物预筛选技术推广至其他疾病的</w:t>
            </w:r>
            <w:r>
              <w:rPr>
                <w:rFonts w:hint="eastAsia"/>
                <w:sz w:val="24"/>
              </w:rPr>
              <w:t>DTI</w:t>
            </w:r>
            <w:r>
              <w:rPr>
                <w:rFonts w:hint="eastAsia"/>
                <w:sz w:val="24"/>
              </w:rPr>
              <w:t>预测中，为药物研发领域提供更加先进的工具与研究思路，为健康中国</w:t>
            </w:r>
            <w:r>
              <w:rPr>
                <w:rFonts w:hint="eastAsia"/>
                <w:sz w:val="24"/>
              </w:rPr>
              <w:t>2030</w:t>
            </w:r>
            <w:r>
              <w:rPr>
                <w:rFonts w:hint="eastAsia"/>
                <w:sz w:val="24"/>
              </w:rPr>
              <w:t>战略打下坚实的基础。</w:t>
            </w:r>
          </w:p>
          <w:p w14:paraId="1F083AC0" w14:textId="77777777" w:rsidR="00E22223" w:rsidRDefault="00000000">
            <w:pPr>
              <w:ind w:rightChars="21" w:right="44" w:firstLineChars="200" w:firstLine="480"/>
              <w:rPr>
                <w:sz w:val="24"/>
              </w:rPr>
            </w:pPr>
            <w:r>
              <w:rPr>
                <w:rFonts w:hint="eastAsia"/>
                <w:sz w:val="24"/>
              </w:rPr>
              <w:t xml:space="preserve">   </w:t>
            </w:r>
          </w:p>
          <w:p w14:paraId="19C29B0A" w14:textId="77777777" w:rsidR="00E22223" w:rsidRDefault="00000000">
            <w:pPr>
              <w:pStyle w:val="af"/>
              <w:numPr>
                <w:ilvl w:val="0"/>
                <w:numId w:val="4"/>
              </w:numPr>
              <w:ind w:left="709" w:rightChars="21" w:right="44" w:firstLineChars="0" w:hanging="709"/>
              <w:rPr>
                <w:rStyle w:val="af2"/>
              </w:rPr>
            </w:pPr>
            <w:r>
              <w:rPr>
                <w:rStyle w:val="af2"/>
                <w:rFonts w:hint="eastAsia"/>
              </w:rPr>
              <w:t>具体目标</w:t>
            </w:r>
          </w:p>
          <w:p w14:paraId="59C28674" w14:textId="77777777" w:rsidR="00E22223" w:rsidRDefault="00000000">
            <w:pPr>
              <w:ind w:rightChars="21" w:right="44" w:firstLineChars="200" w:firstLine="480"/>
              <w:rPr>
                <w:sz w:val="24"/>
              </w:rPr>
            </w:pPr>
            <w:r>
              <w:rPr>
                <w:rFonts w:hint="eastAsia"/>
                <w:sz w:val="24"/>
              </w:rPr>
              <w:t>本项目拟在构造</w:t>
            </w:r>
            <w:r>
              <w:rPr>
                <w:rFonts w:hint="eastAsia"/>
                <w:sz w:val="24"/>
              </w:rPr>
              <w:t>DTI</w:t>
            </w:r>
            <w:r>
              <w:rPr>
                <w:rFonts w:hint="eastAsia"/>
                <w:sz w:val="24"/>
              </w:rPr>
              <w:t>基本预测模型的基础上，完善药物分子和靶蛋白的编码模块，拓展探究异构网络的节点嵌入，对抗新冠病毒药物预筛选技术进行优化，探究出精确度高、性能优异、操作简便的预筛选模型。具体目标如下：</w:t>
            </w:r>
          </w:p>
          <w:p w14:paraId="16ACF658" w14:textId="77777777" w:rsidR="00E22223" w:rsidRDefault="00000000">
            <w:pPr>
              <w:pStyle w:val="af"/>
              <w:numPr>
                <w:ilvl w:val="0"/>
                <w:numId w:val="5"/>
              </w:numPr>
              <w:ind w:left="709" w:rightChars="21" w:right="44" w:firstLineChars="0" w:hanging="709"/>
              <w:jc w:val="left"/>
              <w:rPr>
                <w:sz w:val="24"/>
              </w:rPr>
            </w:pPr>
            <w:r>
              <w:rPr>
                <w:rFonts w:hint="eastAsia"/>
                <w:sz w:val="24"/>
              </w:rPr>
              <w:t>对药物分子、靶蛋白运用</w:t>
            </w:r>
            <w:r>
              <w:rPr>
                <w:rFonts w:hint="eastAsia"/>
                <w:sz w:val="24"/>
              </w:rPr>
              <w:t>B</w:t>
            </w:r>
            <w:r>
              <w:rPr>
                <w:sz w:val="24"/>
              </w:rPr>
              <w:t>ERT</w:t>
            </w:r>
            <w:r>
              <w:rPr>
                <w:rFonts w:hint="eastAsia"/>
                <w:sz w:val="24"/>
              </w:rPr>
              <w:t>表示学习进行编码，探究</w:t>
            </w:r>
            <w:r>
              <w:rPr>
                <w:rFonts w:hint="eastAsia"/>
                <w:sz w:val="24"/>
              </w:rPr>
              <w:t>B</w:t>
            </w:r>
            <w:r>
              <w:rPr>
                <w:sz w:val="24"/>
              </w:rPr>
              <w:t>ERT</w:t>
            </w:r>
            <w:r>
              <w:rPr>
                <w:rFonts w:hint="eastAsia"/>
                <w:sz w:val="24"/>
              </w:rPr>
              <w:t>节点表示对于模型的精度影响。</w:t>
            </w:r>
          </w:p>
          <w:p w14:paraId="04735E85" w14:textId="77777777" w:rsidR="00E22223" w:rsidRDefault="00000000">
            <w:pPr>
              <w:pStyle w:val="af"/>
              <w:numPr>
                <w:ilvl w:val="0"/>
                <w:numId w:val="5"/>
              </w:numPr>
              <w:ind w:left="709" w:rightChars="21" w:right="44" w:firstLineChars="0" w:hanging="709"/>
              <w:jc w:val="left"/>
              <w:rPr>
                <w:sz w:val="24"/>
              </w:rPr>
            </w:pPr>
            <w:r>
              <w:rPr>
                <w:rFonts w:hint="eastAsia"/>
                <w:sz w:val="24"/>
              </w:rPr>
              <w:t>利用图神经网络学习异构关系网络的邻域信息，得到节点嵌入特征。探究</w:t>
            </w:r>
            <w:r>
              <w:rPr>
                <w:rFonts w:hint="eastAsia"/>
                <w:sz w:val="24"/>
              </w:rPr>
              <w:t>12</w:t>
            </w:r>
            <w:r>
              <w:rPr>
                <w:rFonts w:hint="eastAsia"/>
                <w:sz w:val="24"/>
              </w:rPr>
              <w:t>种关系网络组合形成的异构网络对于节点嵌入的优劣影响。</w:t>
            </w:r>
          </w:p>
          <w:p w14:paraId="58FDD1E8" w14:textId="77777777" w:rsidR="00E22223" w:rsidRDefault="00000000">
            <w:pPr>
              <w:pStyle w:val="af"/>
              <w:numPr>
                <w:ilvl w:val="0"/>
                <w:numId w:val="5"/>
              </w:numPr>
              <w:ind w:left="709" w:rightChars="21" w:right="44" w:firstLineChars="0" w:hanging="709"/>
              <w:jc w:val="left"/>
              <w:rPr>
                <w:sz w:val="24"/>
              </w:rPr>
            </w:pPr>
            <w:r>
              <w:rPr>
                <w:rFonts w:hint="eastAsia"/>
                <w:sz w:val="24"/>
              </w:rPr>
              <w:t>训练模型，基于</w:t>
            </w:r>
            <w:r>
              <w:rPr>
                <w:rFonts w:hint="eastAsia"/>
                <w:sz w:val="24"/>
              </w:rPr>
              <w:t>C</w:t>
            </w:r>
            <w:r>
              <w:rPr>
                <w:sz w:val="24"/>
              </w:rPr>
              <w:t>OVID-19</w:t>
            </w:r>
            <w:r>
              <w:rPr>
                <w:rFonts w:hint="eastAsia"/>
                <w:sz w:val="24"/>
              </w:rPr>
              <w:t>相关靶点筛选候选药物，评估验证模型的准确性、先进性。</w:t>
            </w:r>
          </w:p>
          <w:p w14:paraId="1C6A96F6" w14:textId="77777777" w:rsidR="00E22223" w:rsidRDefault="00E22223">
            <w:pPr>
              <w:ind w:rightChars="21" w:right="44"/>
              <w:rPr>
                <w:sz w:val="24"/>
              </w:rPr>
            </w:pPr>
          </w:p>
          <w:p w14:paraId="402E2180" w14:textId="77777777" w:rsidR="00E22223" w:rsidRDefault="00E22223">
            <w:pPr>
              <w:ind w:rightChars="21" w:right="44"/>
              <w:rPr>
                <w:sz w:val="24"/>
              </w:rPr>
            </w:pPr>
          </w:p>
          <w:p w14:paraId="44C805F0" w14:textId="77777777" w:rsidR="00E22223" w:rsidRDefault="00E22223">
            <w:pPr>
              <w:ind w:rightChars="21" w:right="44"/>
              <w:rPr>
                <w:sz w:val="24"/>
              </w:rPr>
            </w:pPr>
          </w:p>
          <w:p w14:paraId="4898AB3E" w14:textId="77777777" w:rsidR="00E22223" w:rsidRDefault="00000000">
            <w:pPr>
              <w:pStyle w:val="af1"/>
              <w:numPr>
                <w:ilvl w:val="0"/>
                <w:numId w:val="4"/>
              </w:numPr>
              <w:ind w:left="709" w:hanging="704"/>
            </w:pPr>
            <w:r>
              <w:rPr>
                <w:rFonts w:hint="eastAsia"/>
              </w:rPr>
              <w:lastRenderedPageBreak/>
              <w:t>国内外研究现状分析及评价</w:t>
            </w:r>
          </w:p>
          <w:p w14:paraId="23EE484F" w14:textId="77777777" w:rsidR="00E22223" w:rsidRDefault="00000000">
            <w:pPr>
              <w:ind w:rightChars="21" w:right="44" w:firstLineChars="200" w:firstLine="480"/>
              <w:rPr>
                <w:sz w:val="24"/>
              </w:rPr>
            </w:pPr>
            <w:r>
              <w:rPr>
                <w:rFonts w:hint="eastAsia"/>
                <w:sz w:val="24"/>
              </w:rPr>
              <w:t>近几年，由于</w:t>
            </w:r>
            <w:r>
              <w:rPr>
                <w:rFonts w:hint="eastAsia"/>
                <w:sz w:val="24"/>
              </w:rPr>
              <w:t>D</w:t>
            </w:r>
            <w:r>
              <w:rPr>
                <w:sz w:val="24"/>
              </w:rPr>
              <w:t>TI</w:t>
            </w:r>
            <w:r>
              <w:rPr>
                <w:rFonts w:hint="eastAsia"/>
                <w:sz w:val="24"/>
              </w:rPr>
              <w:t>预测研究在药物研究、开发领域充分展示出它的重要性，因此国内外研究人员利用多种技术预测</w:t>
            </w:r>
            <w:r>
              <w:rPr>
                <w:sz w:val="24"/>
              </w:rPr>
              <w:t>DTI</w:t>
            </w:r>
            <w:r>
              <w:rPr>
                <w:rFonts w:hint="eastAsia"/>
                <w:sz w:val="24"/>
              </w:rPr>
              <w:t>，从而开展了大量工作并取得多项研究成果</w:t>
            </w:r>
            <w:r>
              <w:rPr>
                <w:sz w:val="24"/>
              </w:rPr>
              <w:fldChar w:fldCharType="begin"/>
            </w:r>
            <w:r>
              <w:rPr>
                <w:sz w:val="24"/>
              </w:rPr>
              <w:instrText xml:space="preserve"> ADDIN EN.CITE &lt;EndNote&gt;&lt;Cite&gt;&lt;Author&gt;Chen&lt;/Author&gt;&lt;Year&gt;2016&lt;/Year&gt;&lt;RecNum&gt;206&lt;/RecNum&gt;&lt;DisplayText&gt;&lt;style face="superscript"&gt;[19]&lt;/style&gt;&lt;/DisplayText&gt;&lt;record&gt;&lt;rec-number&gt;206&lt;/rec-number&gt;&lt;foreign-keys&gt;&lt;key app="EN" db-id="pxdpxsaxowe90texfxhpxdacr5xs055f20ze" timestamp="1665991004"&gt;206&lt;/key&gt;&lt;/foreign-keys&gt;&lt;ref-type name="Journal Article"&gt;17&lt;/ref-type&gt;&lt;contributors&gt;&lt;authors&gt;&lt;author&gt;Chen, Xing&lt;/author&gt;&lt;author&gt;Yan, Chenggang Clarence&lt;/author&gt;&lt;author&gt;Zhang, Xiaotian&lt;/author&gt;&lt;author&gt;Zhang, Xu&lt;/author&gt;&lt;author&gt;Dai, Feng&lt;/author&gt;&lt;author&gt;Yin, Jian&lt;/author&gt;&lt;author&gt;Zhang, Yongdong&lt;/author&gt;&lt;/authors&gt;&lt;/contributors&gt;&lt;titles&gt;&lt;title&gt;Drug-target interaction prediction: databases, web servers and computational models&lt;/title&gt;&lt;secondary-title&gt;Briefings in Bioinformatics&lt;/secondary-title&gt;&lt;/titles&gt;&lt;periodical&gt;&lt;full-title&gt;Briefings in Bioinformatics&lt;/full-title&gt;&lt;/periodical&gt;&lt;pages&gt;696-712&lt;/pages&gt;&lt;volume&gt;17&lt;/volume&gt;&lt;number&gt;4&lt;/number&gt;&lt;dates&gt;&lt;year&gt;2016&lt;/year&gt;&lt;pub-dates&gt;&lt;date&gt;Jul&lt;/date&gt;&lt;/pub-dates&gt;&lt;/dates&gt;&lt;isbn&gt;1467-5463&lt;/isbn&gt;&lt;accession-num&gt;WOS:000383151200013&lt;/accession-num&gt;&lt;urls&gt;&lt;related-urls&gt;&lt;url&gt;&amp;lt;Go to ISI&amp;gt;://WOS:000383151200013&lt;/url&gt;&lt;/related-urls&gt;&lt;/urls&gt;&lt;electronic-resource-num&gt;10.1093/bib/bbv066&lt;/electronic-resource-num&gt;&lt;/record&gt;&lt;/Cite&gt;&lt;/EndNote&gt;</w:instrText>
            </w:r>
            <w:r>
              <w:rPr>
                <w:sz w:val="24"/>
              </w:rPr>
              <w:fldChar w:fldCharType="separate"/>
            </w:r>
            <w:r>
              <w:rPr>
                <w:sz w:val="24"/>
                <w:vertAlign w:val="superscript"/>
              </w:rPr>
              <w:t>[</w:t>
            </w:r>
            <w:hyperlink w:anchor="_ENREF_19" w:tooltip="Chen, 2016 #206" w:history="1">
              <w:r>
                <w:rPr>
                  <w:sz w:val="24"/>
                  <w:vertAlign w:val="superscript"/>
                </w:rPr>
                <w:t>19</w:t>
              </w:r>
            </w:hyperlink>
            <w:r>
              <w:rPr>
                <w:sz w:val="24"/>
                <w:vertAlign w:val="superscript"/>
              </w:rPr>
              <w:t>]</w:t>
            </w:r>
            <w:r>
              <w:rPr>
                <w:sz w:val="24"/>
              </w:rPr>
              <w:fldChar w:fldCharType="end"/>
            </w:r>
            <w:r>
              <w:rPr>
                <w:rFonts w:hint="eastAsia"/>
                <w:sz w:val="24"/>
              </w:rPr>
              <w:t>。目前，</w:t>
            </w:r>
            <w:r>
              <w:rPr>
                <w:rFonts w:hint="eastAsia"/>
                <w:sz w:val="24"/>
              </w:rPr>
              <w:t>DTI</w:t>
            </w:r>
            <w:r>
              <w:rPr>
                <w:rFonts w:hint="eastAsia"/>
                <w:sz w:val="24"/>
              </w:rPr>
              <w:t>预测的计算方法主要有三类</w:t>
            </w:r>
            <w:r>
              <w:rPr>
                <w:sz w:val="24"/>
              </w:rPr>
              <w:fldChar w:fldCharType="begin">
                <w:fldData xml:space="preserve">PEVuZE5vdGU+PENpdGU+PEF1dGhvcj5DaGVuPC9BdXRob3I+PFllYXI+MjAxODwvWWVhcj48UmVj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</w:fldData>
              </w:fldChar>
            </w:r>
            <w:r>
              <w:rPr>
                <w:sz w:val="24"/>
              </w:rPr>
              <w:instrText xml:space="preserve"> ADDIN EN.CITE </w:instrText>
            </w:r>
            <w:r>
              <w:rPr>
                <w:sz w:val="24"/>
              </w:rPr>
              <w:fldChar w:fldCharType="begin">
                <w:fldData xml:space="preserve">PEVuZE5vdGU+PENpdGU+PEF1dGhvcj5DaGVuPC9BdXRob3I+PFllYXI+MjAxODwvWWVhcj48UmVj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vertAlign w:val="superscript"/>
              </w:rPr>
              <w:t>[</w:t>
            </w:r>
            <w:hyperlink w:anchor="_ENREF_20" w:tooltip="Chen, 2018 #207" w:history="1">
              <w:r>
                <w:rPr>
                  <w:sz w:val="24"/>
                  <w:vertAlign w:val="superscript"/>
                </w:rPr>
                <w:t>20</w:t>
              </w:r>
            </w:hyperlink>
            <w:r>
              <w:rPr>
                <w:sz w:val="24"/>
                <w:vertAlign w:val="superscript"/>
              </w:rPr>
              <w:t>]</w:t>
            </w:r>
            <w:r>
              <w:rPr>
                <w:sz w:val="24"/>
              </w:rPr>
              <w:fldChar w:fldCharType="end"/>
            </w:r>
            <w:r>
              <w:rPr>
                <w:rFonts w:hint="eastAsia"/>
                <w:sz w:val="24"/>
              </w:rPr>
              <w:t>：基于配体的方法、对接模拟方法和化学基因组学方法</w:t>
            </w:r>
            <w:r>
              <w:rPr>
                <w:sz w:val="24"/>
              </w:rPr>
              <w:fldChar w:fldCharType="begin"/>
            </w:r>
            <w:r>
              <w:rPr>
                <w:sz w:val="24"/>
              </w:rPr>
              <w:instrText xml:space="preserve"> ADDIN EN.CITE &lt;EndNote&gt;&lt;Cite&gt;&lt;Author&gt;Ezzat&lt;/Author&gt;&lt;Year&gt;2019&lt;/Year&gt;&lt;RecNum&gt;208&lt;/RecNum&gt;&lt;DisplayText&gt;&lt;style face="superscript"&gt;[21]&lt;/style&gt;&lt;/DisplayText&gt;&lt;record&gt;&lt;rec-number&gt;208&lt;/rec-number&gt;&lt;foreign-keys&gt;&lt;key app="EN" db-id="pxdpxsaxowe90texfxhpxdacr5xs055f20ze" timestamp="1665991834"&gt;208&lt;/key&gt;&lt;/foreign-keys&gt;&lt;ref-type name="Journal Article"&gt;17&lt;/ref-type&gt;&lt;contributors&gt;&lt;authors&gt;&lt;author&gt;Ezzat, Ali&lt;/author&gt;&lt;author&gt;Wu, Min&lt;/author&gt;&lt;author&gt;Li, Xiao-Li&lt;/author&gt;&lt;author&gt;Kwoh, Chee-Keong&lt;/author&gt;&lt;/authors&gt;&lt;/contributors&gt;&lt;titles&gt;&lt;title&gt;Computational prediction of drug-target interactions using chemogenomic approaches: an empirical survey&lt;/title&gt;&lt;secondary-title&gt;Briefings in Bioinformatics&lt;/secondary-title&gt;&lt;/titles&gt;&lt;periodical&gt;&lt;full-title&gt;Briefings in Bioinformatics&lt;/full-title&gt;&lt;/periodical&gt;&lt;pages&gt;1337-1357&lt;/pages&gt;&lt;volume&gt;20&lt;/volume&gt;&lt;number&gt;4&lt;/number&gt;&lt;dates&gt;&lt;year&gt;2019&lt;/year&gt;&lt;pub-dates&gt;&lt;date&gt;Jul&lt;/date&gt;&lt;/pub-dates&gt;&lt;/dates&gt;&lt;isbn&gt;1467-5463&lt;/isbn&gt;&lt;accession-num&gt;WOS:000493041400025&lt;/accession-num&gt;&lt;urls&gt;&lt;related-urls&gt;&lt;url&gt;&amp;lt;Go to ISI&amp;gt;://WOS:000493041400025&lt;/url&gt;&lt;/related-urls&gt;&lt;/urls&gt;&lt;electronic-resource-num&gt;10.1093/bib/bby002&lt;/electronic-resource-num&gt;&lt;/record&gt;&lt;/Cite&gt;&lt;/EndNote&gt;</w:instrText>
            </w:r>
            <w:r>
              <w:rPr>
                <w:sz w:val="24"/>
              </w:rPr>
              <w:fldChar w:fldCharType="separate"/>
            </w:r>
            <w:r>
              <w:rPr>
                <w:sz w:val="24"/>
                <w:vertAlign w:val="superscript"/>
              </w:rPr>
              <w:t>[</w:t>
            </w:r>
            <w:hyperlink w:anchor="_ENREF_21" w:tooltip="Ezzat, 2019 #208" w:history="1">
              <w:r>
                <w:rPr>
                  <w:sz w:val="24"/>
                  <w:vertAlign w:val="superscript"/>
                </w:rPr>
                <w:t>21</w:t>
              </w:r>
            </w:hyperlink>
            <w:r>
              <w:rPr>
                <w:sz w:val="24"/>
                <w:vertAlign w:val="superscript"/>
              </w:rPr>
              <w:t>]</w:t>
            </w:r>
            <w:r>
              <w:rPr>
                <w:sz w:val="24"/>
              </w:rPr>
              <w:fldChar w:fldCharType="end"/>
            </w:r>
            <w:r>
              <w:rPr>
                <w:rFonts w:hint="eastAsia"/>
                <w:sz w:val="24"/>
              </w:rPr>
              <w:t>。</w:t>
            </w:r>
          </w:p>
          <w:p w14:paraId="0758CFED" w14:textId="77777777" w:rsidR="00E22223" w:rsidRDefault="00000000">
            <w:pPr>
              <w:ind w:rightChars="21" w:right="44" w:firstLineChars="200" w:firstLine="480"/>
              <w:rPr>
                <w:sz w:val="24"/>
              </w:rPr>
            </w:pPr>
            <w:r>
              <w:rPr>
                <w:rFonts w:hint="eastAsia"/>
                <w:sz w:val="24"/>
              </w:rPr>
              <w:t>基于配体的方法主要是根据药物</w:t>
            </w:r>
            <w:r>
              <w:rPr>
                <w:rFonts w:hint="eastAsia"/>
                <w:sz w:val="24"/>
              </w:rPr>
              <w:t>-</w:t>
            </w:r>
            <w:r>
              <w:rPr>
                <w:rFonts w:hint="eastAsia"/>
                <w:sz w:val="24"/>
              </w:rPr>
              <w:t>配体相似性从而形成药理特征以及与靶蛋白之间的联系</w:t>
            </w:r>
            <w:r>
              <w:rPr>
                <w:sz w:val="24"/>
              </w:rPr>
              <w:fldChar w:fldCharType="begin"/>
            </w:r>
            <w:r>
              <w:rPr>
                <w:sz w:val="24"/>
              </w:rPr>
              <w:instrText xml:space="preserve"> ADDIN EN.CITE &lt;EndNote&gt;&lt;Cite&gt;&lt;Author&gt;Ding&lt;/Author&gt;&lt;Year&gt;2020&lt;/Year&gt;&lt;RecNum&gt;209&lt;/RecNum&gt;&lt;DisplayText&gt;&lt;style face="superscript"&gt;[22]&lt;/style&gt;&lt;/DisplayText&gt;&lt;record&gt;&lt;rec-number&gt;209&lt;/rec-number&gt;&lt;foreign-keys&gt;&lt;key app="EN" db-id="pxdpxsaxowe90texfxhpxdacr5xs055f20ze" timestamp="1665992106"&gt;209&lt;/key&gt;&lt;/foreign-keys&gt;&lt;ref-type name="Journal Article"&gt;17&lt;/ref-type&gt;&lt;contributors&gt;&lt;authors&gt;&lt;author&gt;Ding, Yijie&lt;/author&gt;&lt;author&gt;Tang, Jijun&lt;/author&gt;&lt;author&gt;Guo, Fei&lt;/author&gt;&lt;/authors&gt;&lt;/contributors&gt;&lt;titles&gt;&lt;title&gt;Identification of Drug-Target Interactions via Dual Laplacian Regularized Least Squares with Multiple Kernel Fusion&lt;/title&gt;&lt;secondary-title&gt;Knowl. Based Syst.&lt;/secondary-title&gt;&lt;/titles&gt;&lt;periodical&gt;&lt;full-title&gt;Knowl. Based Syst.&lt;/full-title&gt;&lt;/periodical&gt;&lt;pages&gt;106254&lt;/pages&gt;&lt;volume&gt;204&lt;/volume&gt;&lt;dates&gt;&lt;year&gt;2020&lt;/year&gt;&lt;/dates&gt;&lt;urls&gt;&lt;/urls&gt;&lt;/record&gt;&lt;/Cite&gt;&lt;/EndNote&gt;</w:instrText>
            </w:r>
            <w:r>
              <w:rPr>
                <w:sz w:val="24"/>
              </w:rPr>
              <w:fldChar w:fldCharType="separate"/>
            </w:r>
            <w:r>
              <w:rPr>
                <w:sz w:val="24"/>
                <w:vertAlign w:val="superscript"/>
              </w:rPr>
              <w:t>[</w:t>
            </w:r>
            <w:hyperlink w:anchor="_ENREF_22" w:tooltip="Ding, 2020 #209" w:history="1">
              <w:r>
                <w:rPr>
                  <w:sz w:val="24"/>
                  <w:vertAlign w:val="superscript"/>
                </w:rPr>
                <w:t>22</w:t>
              </w:r>
            </w:hyperlink>
            <w:r>
              <w:rPr>
                <w:sz w:val="24"/>
                <w:vertAlign w:val="superscript"/>
              </w:rPr>
              <w:t>]</w:t>
            </w:r>
            <w:r>
              <w:rPr>
                <w:sz w:val="24"/>
              </w:rPr>
              <w:fldChar w:fldCharType="end"/>
            </w:r>
            <w:r>
              <w:rPr>
                <w:rFonts w:hint="eastAsia"/>
                <w:sz w:val="24"/>
              </w:rPr>
              <w:t>。然而已知配体的数量不足、蛋白质的三维结构未知会导致模型性能不佳。基于分子建模技术，分子对接模拟可以利用分子建模技术，通过动态模拟识别</w:t>
            </w:r>
            <w:r>
              <w:rPr>
                <w:rFonts w:hint="eastAsia"/>
                <w:sz w:val="24"/>
              </w:rPr>
              <w:t>D</w:t>
            </w:r>
            <w:r>
              <w:rPr>
                <w:sz w:val="24"/>
              </w:rPr>
              <w:t>TI</w:t>
            </w:r>
            <w:r>
              <w:rPr>
                <w:rFonts w:hint="eastAsia"/>
                <w:sz w:val="24"/>
              </w:rPr>
              <w:t>。但是此方法受限于靶点的三维结构</w:t>
            </w:r>
            <w:r>
              <w:rPr>
                <w:sz w:val="24"/>
              </w:rPr>
              <w:fldChar w:fldCharType="begin"/>
            </w:r>
            <w:r>
              <w:rPr>
                <w:sz w:val="24"/>
              </w:rPr>
              <w:instrText xml:space="preserve"> ADDIN EN.CITE &lt;EndNote&gt;&lt;Cite&gt;&lt;Author&gt;Bagherian&lt;/Author&gt;&lt;Year&gt;2021&lt;/Year&gt;&lt;RecNum&gt;194&lt;/RecNum&gt;&lt;DisplayText&gt;&lt;style face="superscript"&gt;[10]&lt;/style&gt;&lt;/DisplayText&gt;&lt;record&gt;&lt;rec-number&gt;194&lt;/rec-number&gt;&lt;foreign-keys&gt;&lt;key app="EN" db-id="pxdpxsaxowe90texfxhpxdacr5xs055f20ze" timestamp="1665836585"&gt;194&lt;/key&gt;&lt;/foreign-keys&gt;&lt;ref-type name="Journal Article"&gt;17&lt;/ref-type&gt;&lt;contributors&gt;&lt;authors&gt;&lt;author&gt;Bagherian, Maryam&lt;/author&gt;&lt;author&gt;Sabeti, Elyas&lt;/author&gt;&lt;author&gt;Wang, Kai&lt;/author&gt;&lt;author&gt;Sartor, Maureen A.&lt;/author&gt;&lt;author&gt;Nikolovska-Coleska, Zaneta&lt;/author&gt;&lt;author&gt;Najarian, Kayvan&lt;/author&gt;&lt;/authors&gt;&lt;/contributors&gt;&lt;titles&gt;&lt;title&gt;Machine learning approaches and databases for prediction of drug-target interaction: a survey paper&lt;/title&gt;&lt;secondary-title&gt;Briefings in Bioinformatics&lt;/secondary-title&gt;&lt;/titles&gt;&lt;periodical&gt;&lt;full-title&gt;Briefings in Bioinformatics&lt;/full-title&gt;&lt;/periodical&gt;&lt;pages&gt;247-269&lt;/pages&gt;&lt;volume&gt;22&lt;/volume&gt;&lt;number&gt;1&lt;/number&gt;&lt;dates&gt;&lt;year&gt;2021&lt;/year&gt;&lt;pub-dates&gt;&lt;date&gt;Jan&lt;/date&gt;&lt;/pub-dates&gt;&lt;/dates&gt;&lt;isbn&gt;1467-5463&lt;/isbn&gt;&lt;accession-num&gt;WOS:000634950200020&lt;/accession-num&gt;&lt;urls&gt;&lt;related-urls&gt;&lt;url&gt;&amp;lt;Go to ISI&amp;gt;://WOS:000634950200020&lt;/url&gt;&lt;/related-urls&gt;&lt;/urls&gt;&lt;electronic-resource-num&gt;10.1093/bib/bbz157&lt;/electronic-resource-num&gt;&lt;/record&gt;&lt;/Cite&gt;&lt;/EndNote&gt;</w:instrText>
            </w:r>
            <w:r>
              <w:rPr>
                <w:sz w:val="24"/>
              </w:rPr>
              <w:fldChar w:fldCharType="separate"/>
            </w:r>
            <w:r>
              <w:rPr>
                <w:sz w:val="24"/>
                <w:vertAlign w:val="superscript"/>
              </w:rPr>
              <w:t>[</w:t>
            </w:r>
            <w:hyperlink w:anchor="_ENREF_10" w:tooltip="Bagherian, 2021 #194" w:history="1">
              <w:r>
                <w:rPr>
                  <w:sz w:val="24"/>
                  <w:vertAlign w:val="superscript"/>
                </w:rPr>
                <w:t>10</w:t>
              </w:r>
            </w:hyperlink>
            <w:r>
              <w:rPr>
                <w:sz w:val="24"/>
                <w:vertAlign w:val="superscript"/>
              </w:rPr>
              <w:t>]</w:t>
            </w:r>
            <w:r>
              <w:rPr>
                <w:sz w:val="24"/>
              </w:rPr>
              <w:fldChar w:fldCharType="end"/>
            </w:r>
            <w:r>
              <w:rPr>
                <w:rFonts w:hint="eastAsia"/>
                <w:sz w:val="24"/>
              </w:rPr>
              <w:t>。</w:t>
            </w:r>
          </w:p>
          <w:p w14:paraId="752D66AD" w14:textId="77777777" w:rsidR="00E22223" w:rsidRDefault="00000000">
            <w:pPr>
              <w:ind w:rightChars="21" w:right="44" w:firstLineChars="200" w:firstLine="480"/>
              <w:rPr>
                <w:sz w:val="24"/>
              </w:rPr>
            </w:pPr>
            <w:r>
              <w:rPr>
                <w:rFonts w:hint="eastAsia"/>
                <w:sz w:val="24"/>
              </w:rPr>
              <w:t>化学基因组学方法可进一步分为几类，如基于机器学习的方法和基于相似性的方法</w:t>
            </w:r>
            <w:r>
              <w:rPr>
                <w:sz w:val="24"/>
              </w:rPr>
              <w:fldChar w:fldCharType="begin"/>
            </w:r>
            <w:r>
              <w:rPr>
                <w:sz w:val="24"/>
              </w:rPr>
              <w:instrText xml:space="preserve"> ADDIN EN.CITE &lt;EndNote&gt;&lt;Cite&gt;&lt;Author&gt;Sachdev&lt;/Author&gt;&lt;Year&gt;2019&lt;/Year&gt;&lt;RecNum&gt;211&lt;/RecNum&gt;&lt;DisplayText&gt;&lt;style face="superscript"&gt;[23]&lt;/style&gt;&lt;/DisplayText&gt;&lt;record&gt;&lt;rec-number&gt;211&lt;/rec-number&gt;&lt;foreign-keys&gt;&lt;key app="EN" db-id="pxdpxsaxowe90texfxhpxdacr5xs055f20ze" timestamp="1665992338"&gt;211&lt;/key&gt;&lt;/foreign-keys&gt;&lt;ref-type name="Journal Article"&gt;17&lt;/ref-type&gt;&lt;contributors&gt;&lt;authors&gt;&lt;author&gt;Sachdev, Kanica&lt;/author&gt;&lt;author&gt;Gupta, Manoj Kumar&lt;/author&gt;&lt;/authors&gt;&lt;/contributors&gt;&lt;titles&gt;&lt;title&gt;A comprehensive review of feature based methods for drug target interaction prediction&lt;/title&gt;&lt;secondary-title&gt;Journal of Biomedical Informatics&lt;/secondary-title&gt;&lt;/titles&gt;&lt;periodical&gt;&lt;full-title&gt;Journal of Biomedical Informatics&lt;/full-title&gt;&lt;/periodical&gt;&lt;pages&gt;103159&lt;/pages&gt;&lt;volume&gt;93&lt;/volume&gt;&lt;dates&gt;&lt;year&gt;2019&lt;/year&gt;&lt;pub-dates&gt;&lt;date&gt;May&lt;/date&gt;&lt;/pub-dates&gt;&lt;/dates&gt;&lt;isbn&gt;1532-0464&lt;/isbn&gt;&lt;accession-num&gt;WOS:000525690500001&lt;/accession-num&gt;&lt;urls&gt;&lt;related-urls&gt;&lt;url&gt;&amp;lt;Go to ISI&amp;gt;://WOS:000525690500001&lt;/url&gt;&lt;/related-urls&gt;&lt;/urls&gt;&lt;custom7&gt;103159&lt;/custom7&gt;&lt;electronic-resource-num&gt;10.1016/j.jbi.2019.103159&lt;/electronic-resource-num&gt;&lt;/record&gt;&lt;/Cite&gt;&lt;/EndNote&gt;</w:instrText>
            </w:r>
            <w:r>
              <w:rPr>
                <w:sz w:val="24"/>
              </w:rPr>
              <w:fldChar w:fldCharType="separate"/>
            </w:r>
            <w:r>
              <w:rPr>
                <w:sz w:val="24"/>
                <w:vertAlign w:val="superscript"/>
              </w:rPr>
              <w:t>[</w:t>
            </w:r>
            <w:hyperlink w:anchor="_ENREF_23" w:tooltip="Sachdev, 2019 #211" w:history="1">
              <w:r>
                <w:rPr>
                  <w:sz w:val="24"/>
                  <w:vertAlign w:val="superscript"/>
                </w:rPr>
                <w:t>23</w:t>
              </w:r>
            </w:hyperlink>
            <w:r>
              <w:rPr>
                <w:sz w:val="24"/>
                <w:vertAlign w:val="superscript"/>
              </w:rPr>
              <w:t>]</w:t>
            </w:r>
            <w:r>
              <w:rPr>
                <w:sz w:val="24"/>
              </w:rPr>
              <w:fldChar w:fldCharType="end"/>
            </w:r>
            <w:r>
              <w:rPr>
                <w:rFonts w:hint="eastAsia"/>
                <w:sz w:val="24"/>
              </w:rPr>
              <w:t>。其中，基于机器学习的模型因其可靠的预测结果而备受关注。此方法克服上述两种方法的局限性，通过将药物分子的化学空间与靶点蛋白质的基因空间结合并利用机器学习方法来预测</w:t>
            </w:r>
            <w:r>
              <w:rPr>
                <w:sz w:val="24"/>
              </w:rPr>
              <w:t>DTI</w:t>
            </w:r>
            <w:r>
              <w:rPr>
                <w:rFonts w:hint="eastAsia"/>
                <w:sz w:val="24"/>
              </w:rPr>
              <w:t>。</w:t>
            </w:r>
          </w:p>
          <w:p w14:paraId="69C8E1CC" w14:textId="77777777" w:rsidR="00E22223" w:rsidRDefault="00000000">
            <w:pPr>
              <w:ind w:rightChars="21" w:right="44" w:firstLineChars="200" w:firstLine="480"/>
              <w:rPr>
                <w:sz w:val="24"/>
              </w:rPr>
            </w:pPr>
            <w:r>
              <w:rPr>
                <w:rFonts w:hint="eastAsia"/>
                <w:sz w:val="24"/>
              </w:rPr>
              <w:t>在利用机器学习方法预测</w:t>
            </w:r>
            <w:r>
              <w:rPr>
                <w:sz w:val="24"/>
              </w:rPr>
              <w:t>DTI</w:t>
            </w:r>
            <w:r>
              <w:rPr>
                <w:rFonts w:hint="eastAsia"/>
                <w:sz w:val="24"/>
              </w:rPr>
              <w:t>时，首先要获得表示药物和靶蛋白的特征信息。蛋白质常用的特征是基于序列的特征，例如氨基酸组成</w:t>
            </w:r>
            <w:r>
              <w:rPr>
                <w:sz w:val="24"/>
              </w:rPr>
              <w:fldChar w:fldCharType="begin"/>
            </w:r>
            <w:r>
              <w:rPr>
                <w:sz w:val="24"/>
              </w:rPr>
              <w:instrText xml:space="preserve"> ADDIN EN.CITE &lt;EndNote&gt;&lt;Cite&gt;&lt;Author&gt;Nakashima&lt;/Author&gt;&lt;Year&gt;1994&lt;/Year&gt;&lt;RecNum&gt;212&lt;/RecNum&gt;&lt;DisplayText&gt;&lt;style face="superscript"&gt;[24]&lt;/style&gt;&lt;/DisplayText&gt;&lt;record&gt;&lt;rec-number&gt;212&lt;/rec-number&gt;&lt;foreign-keys&gt;&lt;key app="EN" db-id="pxdpxsaxowe90texfxhpxdacr5xs055f20ze" timestamp="1665994025"&gt;212&lt;/key&gt;&lt;/foreign-keys&gt;&lt;ref-type name="Journal Article"&gt;17&lt;/ref-type&gt;&lt;contributors&gt;&lt;authors&gt;&lt;author&gt;Nakashima, H.&lt;/author&gt;&lt;author&gt;Nishikawa, K.&lt;/author&gt;&lt;/authors&gt;&lt;/contributors&gt;&lt;titles&gt;&lt;title&gt;Discrimination of intracellular and extracellular proteins using amino acid composition and residue-pair frequencies&lt;/title&gt;&lt;secondary-title&gt;Journal of Molecular Biology&lt;/secondary-title&gt;&lt;/titles&gt;&lt;periodical&gt;&lt;full-title&gt;Journal of Molecular Biology&lt;/full-title&gt;&lt;/periodical&gt;&lt;pages&gt;54-61&lt;/pages&gt;&lt;volume&gt;238&lt;/volume&gt;&lt;number&gt;1&lt;/number&gt;&lt;dates&gt;&lt;year&gt;1994&lt;/year&gt;&lt;pub-dates&gt;&lt;date&gt;Apr 22&lt;/date&gt;&lt;/pub-dates&gt;&lt;/dates&gt;&lt;isbn&gt;0022-2836&lt;/isbn&gt;&lt;accession-num&gt;WOS:A1994NG67900005&lt;/accession-num&gt;&lt;urls&gt;&lt;related-urls&gt;&lt;url&gt;&amp;lt;Go to ISI&amp;gt;://WOS:A1994NG67900005&lt;/url&gt;&lt;/related-urls&gt;&lt;/urls&gt;&lt;electronic-resource-num&gt;10.1006/jmbi.1994.1267&lt;/electronic-resource-num&gt;&lt;/record&gt;&lt;/Cite&gt;&lt;/EndNote&gt;</w:instrText>
            </w:r>
            <w:r>
              <w:rPr>
                <w:sz w:val="24"/>
              </w:rPr>
              <w:fldChar w:fldCharType="separate"/>
            </w:r>
            <w:r>
              <w:rPr>
                <w:sz w:val="24"/>
                <w:vertAlign w:val="superscript"/>
              </w:rPr>
              <w:t>[</w:t>
            </w:r>
            <w:hyperlink w:anchor="_ENREF_24" w:tooltip="Nakashima, 1994 #212" w:history="1">
              <w:r>
                <w:rPr>
                  <w:sz w:val="24"/>
                  <w:vertAlign w:val="superscript"/>
                </w:rPr>
                <w:t>24</w:t>
              </w:r>
            </w:hyperlink>
            <w:r>
              <w:rPr>
                <w:sz w:val="24"/>
                <w:vertAlign w:val="superscript"/>
              </w:rPr>
              <w:t>]</w:t>
            </w:r>
            <w:r>
              <w:rPr>
                <w:sz w:val="24"/>
              </w:rPr>
              <w:fldChar w:fldCharType="end"/>
            </w:r>
            <w:r>
              <w:rPr>
                <w:rFonts w:hint="eastAsia"/>
                <w:sz w:val="24"/>
              </w:rPr>
              <w:t>。此外，还有一些基于蛋白质物理化学性质的特征，其中包括自相关因子等。药物化合物特征的提取有简化分子线性输入规范（</w:t>
            </w:r>
            <w:r>
              <w:rPr>
                <w:rFonts w:hint="eastAsia"/>
                <w:sz w:val="24"/>
              </w:rPr>
              <w:t>S</w:t>
            </w:r>
            <w:r>
              <w:rPr>
                <w:sz w:val="24"/>
              </w:rPr>
              <w:t>MILES</w:t>
            </w:r>
            <w:r>
              <w:rPr>
                <w:rFonts w:hint="eastAsia"/>
                <w:sz w:val="24"/>
              </w:rPr>
              <w:t>）、利用</w:t>
            </w:r>
            <w:r>
              <w:rPr>
                <w:sz w:val="24"/>
              </w:rPr>
              <w:t xml:space="preserve"> DRAGON</w:t>
            </w:r>
            <w:r>
              <w:rPr>
                <w:rFonts w:hint="eastAsia"/>
                <w:sz w:val="24"/>
              </w:rPr>
              <w:t>计算各种类型的描述符</w:t>
            </w:r>
            <w:r>
              <w:rPr>
                <w:sz w:val="24"/>
              </w:rPr>
              <w:fldChar w:fldCharType="begin"/>
            </w:r>
            <w:r>
              <w:rPr>
                <w:sz w:val="24"/>
              </w:rPr>
              <w:instrText xml:space="preserve"> ADDIN EN.CITE &lt;EndNote&gt;&lt;Cite&gt;&lt;Author&gt;Yap&lt;/Author&gt;&lt;Year&gt;2005&lt;/Year&gt;&lt;RecNum&gt;213&lt;/RecNum&gt;&lt;DisplayText&gt;&lt;style face="superscript"&gt;[25]&lt;/style&gt;&lt;/DisplayText&gt;&lt;record&gt;&lt;rec-number&gt;213&lt;/rec-number&gt;&lt;foreign-keys&gt;&lt;key app="EN" db-id="pxdpxsaxowe90texfxhpxdacr5xs055f20ze" timestamp="1665994204"&gt;213&lt;/key&gt;&lt;/foreign-keys&gt;&lt;ref-type name="Journal Article"&gt;17&lt;/ref-type&gt;&lt;contributors&gt;&lt;authors&gt;&lt;author&gt;Yap, C. W.&lt;/author&gt;&lt;author&gt;Chen, Y. Z.&lt;/author&gt;&lt;/authors&gt;&lt;/contributors&gt;&lt;titles&gt;&lt;title&gt;Prediction of cytochrome p450 3A4, 2D6, and 2C9 inhibitors and substrates by using support vector machines&lt;/title&gt;&lt;secondary-title&gt;Journal of Chemical Information and Modeling&lt;/secondary-title&gt;&lt;/titles&gt;&lt;periodical&gt;&lt;full-title&gt;Journal of Chemical Information and Modeling&lt;/full-title&gt;&lt;/periodical&gt;&lt;pages&gt;982-992&lt;/pages&gt;&lt;volume&gt;45&lt;/volume&gt;&lt;number&gt;4&lt;/number&gt;&lt;dates&gt;&lt;year&gt;2005&lt;/year&gt;&lt;pub-dates&gt;&lt;date&gt;Jul-Aug&lt;/date&gt;&lt;/pub-dates&gt;&lt;/dates&gt;&lt;isbn&gt;1549-9596&lt;/isbn&gt;&lt;accession-num&gt;WOS:000230864300019&lt;/accession-num&gt;&lt;urls&gt;&lt;related-urls&gt;&lt;url&gt;&amp;lt;Go to ISI&amp;gt;://WOS:000230864300019&lt;/url&gt;&lt;/related-urls&gt;&lt;/urls&gt;&lt;electronic-resource-num&gt;10.1021/ci0500536&lt;/electronic-resource-num&gt;&lt;/record&gt;&lt;/Cite&gt;&lt;/EndNote&gt;</w:instrText>
            </w:r>
            <w:r>
              <w:rPr>
                <w:sz w:val="24"/>
              </w:rPr>
              <w:fldChar w:fldCharType="separate"/>
            </w:r>
            <w:r>
              <w:rPr>
                <w:sz w:val="24"/>
                <w:vertAlign w:val="superscript"/>
              </w:rPr>
              <w:t>[</w:t>
            </w:r>
            <w:hyperlink w:anchor="_ENREF_25" w:tooltip="Yap, 2005 #213" w:history="1">
              <w:r>
                <w:rPr>
                  <w:sz w:val="24"/>
                  <w:vertAlign w:val="superscript"/>
                </w:rPr>
                <w:t>25</w:t>
              </w:r>
            </w:hyperlink>
            <w:r>
              <w:rPr>
                <w:sz w:val="24"/>
                <w:vertAlign w:val="superscript"/>
              </w:rPr>
              <w:t>]</w:t>
            </w:r>
            <w:r>
              <w:rPr>
                <w:sz w:val="24"/>
              </w:rPr>
              <w:fldChar w:fldCharType="end"/>
            </w:r>
            <w:r>
              <w:rPr>
                <w:rFonts w:hint="eastAsia"/>
                <w:sz w:val="24"/>
              </w:rPr>
              <w:t>等。</w:t>
            </w:r>
          </w:p>
          <w:p w14:paraId="5A8B3F20" w14:textId="77777777" w:rsidR="00E22223" w:rsidRDefault="00000000">
            <w:pPr>
              <w:ind w:rightChars="21" w:right="44" w:firstLineChars="200" w:firstLine="480"/>
              <w:rPr>
                <w:sz w:val="24"/>
              </w:rPr>
            </w:pPr>
            <w:r>
              <w:rPr>
                <w:rFonts w:hint="eastAsia"/>
                <w:sz w:val="24"/>
              </w:rPr>
              <w:t>在基于机器学习的</w:t>
            </w:r>
            <w:r>
              <w:rPr>
                <w:sz w:val="24"/>
              </w:rPr>
              <w:t>DTI</w:t>
            </w:r>
            <w:r>
              <w:rPr>
                <w:rFonts w:hint="eastAsia"/>
                <w:sz w:val="24"/>
              </w:rPr>
              <w:t>预测中，针对同一问题采用不同的分类算法，或将不同的特征提取方法和分类算法的联合使用，都取得了较好的预测结果。</w:t>
            </w:r>
            <w:r>
              <w:rPr>
                <w:sz w:val="24"/>
              </w:rPr>
              <w:t>Yamanishi</w:t>
            </w:r>
            <w:r>
              <w:rPr>
                <w:rFonts w:hint="eastAsia"/>
                <w:sz w:val="24"/>
              </w:rPr>
              <w:t>等人</w:t>
            </w:r>
            <w:r>
              <w:rPr>
                <w:sz w:val="24"/>
              </w:rPr>
              <w:fldChar w:fldCharType="begin"/>
            </w:r>
            <w:r>
              <w:rPr>
                <w:sz w:val="24"/>
              </w:rPr>
              <w:instrText xml:space="preserve"> ADDIN EN.CITE &lt;EndNote&gt;&lt;Cite&gt;&lt;Author&gt;Yamanishi&lt;/Author&gt;&lt;Year&gt;2010&lt;/Year&gt;&lt;RecNum&gt;214&lt;/RecNum&gt;&lt;DisplayText&gt;&lt;style face="superscript"&gt;[26]&lt;/style&gt;&lt;/DisplayText&gt;&lt;record&gt;&lt;rec-number&gt;214&lt;/rec-number&gt;&lt;foreign-keys&gt;&lt;key app="EN" db-id="pxdpxsaxowe90texfxhpxdacr5xs055f20ze" timestamp="1665994377"&gt;214&lt;/key&gt;&lt;/foreign-keys&gt;&lt;ref-type name="Journal Article"&gt;17&lt;/ref-type&gt;&lt;contributors&gt;&lt;authors&gt;&lt;author&gt;Yamanishi, Yoshihiro&lt;/author&gt;&lt;author&gt;Kotera, Masaaki&lt;/author&gt;&lt;author&gt;Kanehisa, Minoru&lt;/author&gt;&lt;author&gt;Goto, Susumu&lt;/author&gt;&lt;/authors&gt;&lt;/contributors&gt;&lt;titles&gt;&lt;title&gt;Drug-target interaction prediction from chemical, genomic and pharmacological data in an integrated framework&lt;/title&gt;&lt;secondary-title&gt;Bioinformatics&lt;/secondary-title&gt;&lt;/titles&gt;&lt;periodical&gt;&lt;full-title&gt;Bioinformatics&lt;/full-title&gt;&lt;/periodical&gt;&lt;pages&gt;i246-i254&lt;/pages&gt;&lt;volume&gt;26&lt;/volume&gt;&lt;number&gt;12&lt;/number&gt;&lt;dates&gt;&lt;year&gt;2010&lt;/year&gt;&lt;pub-dates&gt;&lt;date&gt;Jun 15&lt;/date&gt;&lt;/pub-dates&gt;&lt;/dates&gt;&lt;isbn&gt;1367-4803&lt;/isbn&gt;&lt;accession-num&gt;WOS:000278689000030&lt;/accession-num&gt;&lt;urls&gt;&lt;related-urls&gt;&lt;url&gt;&amp;lt;Go to ISI&amp;gt;://WOS:000278689000030&lt;/url&gt;&lt;/related-urls&gt;&lt;/urls&gt;&lt;electronic-resource-num&gt;10.1093/bioinformatics/btq176&lt;/electronic-resource-num&gt;&lt;/record&gt;&lt;/Cite&gt;&lt;/EndNote&gt;</w:instrText>
            </w:r>
            <w:r>
              <w:rPr>
                <w:sz w:val="24"/>
              </w:rPr>
              <w:fldChar w:fldCharType="separate"/>
            </w:r>
            <w:r>
              <w:rPr>
                <w:sz w:val="24"/>
                <w:vertAlign w:val="superscript"/>
              </w:rPr>
              <w:t>[</w:t>
            </w:r>
            <w:hyperlink w:anchor="_ENREF_26" w:tooltip="Yamanishi, 2010 #214" w:history="1">
              <w:r>
                <w:rPr>
                  <w:sz w:val="24"/>
                  <w:vertAlign w:val="superscript"/>
                </w:rPr>
                <w:t>26</w:t>
              </w:r>
            </w:hyperlink>
            <w:r>
              <w:rPr>
                <w:sz w:val="24"/>
                <w:vertAlign w:val="superscript"/>
              </w:rPr>
              <w:t>]</w:t>
            </w:r>
            <w:r>
              <w:rPr>
                <w:sz w:val="24"/>
              </w:rPr>
              <w:fldChar w:fldCharType="end"/>
            </w:r>
            <w:r>
              <w:rPr>
                <w:rFonts w:hint="eastAsia"/>
                <w:sz w:val="24"/>
              </w:rPr>
              <w:t>提出了一种基于核回归的方法，构建了包含人体中四类</w:t>
            </w:r>
            <w:r>
              <w:rPr>
                <w:sz w:val="24"/>
              </w:rPr>
              <w:t>DTI</w:t>
            </w:r>
            <w:r>
              <w:rPr>
                <w:rFonts w:hint="eastAsia"/>
                <w:sz w:val="24"/>
              </w:rPr>
              <w:t>的黄金标准数据集，并开发一种基于二分图的监督学习方法，将化学和基因组空间中的药物和靶点映射到一个统一空间来有效预测</w:t>
            </w:r>
            <w:r>
              <w:rPr>
                <w:sz w:val="24"/>
              </w:rPr>
              <w:t>DTI</w:t>
            </w:r>
            <w:r>
              <w:rPr>
                <w:rFonts w:hint="eastAsia"/>
                <w:sz w:val="24"/>
              </w:rPr>
              <w:t>网络。在此基础上，</w:t>
            </w:r>
            <w:r>
              <w:rPr>
                <w:rFonts w:hint="eastAsia"/>
                <w:sz w:val="24"/>
              </w:rPr>
              <w:t xml:space="preserve">Bleakley </w:t>
            </w:r>
            <w:r>
              <w:rPr>
                <w:rFonts w:hint="eastAsia"/>
                <w:sz w:val="24"/>
              </w:rPr>
              <w:t>和</w:t>
            </w:r>
            <w:r>
              <w:rPr>
                <w:rFonts w:hint="eastAsia"/>
                <w:sz w:val="24"/>
              </w:rPr>
              <w:t xml:space="preserve"> Yamanishi </w:t>
            </w:r>
            <w:r>
              <w:rPr>
                <w:sz w:val="24"/>
              </w:rPr>
              <w:fldChar w:fldCharType="begin"/>
            </w:r>
            <w:r>
              <w:rPr>
                <w:sz w:val="24"/>
              </w:rPr>
              <w:instrText xml:space="preserve"> ADDIN EN.CITE &lt;EndNote&gt;&lt;Cite&gt;&lt;Author&gt;Bleakley&lt;/Author&gt;&lt;Year&gt;2009&lt;/Year&gt;&lt;RecNum&gt;138&lt;/RecNum&gt;&lt;DisplayText&gt;&lt;style face="superscript"&gt;[27]&lt;/style&gt;&lt;/DisplayText&gt;&lt;record&gt;&lt;rec-number&gt;138&lt;/rec-number&gt;&lt;foreign-keys&gt;&lt;key app="EN" db-id="pxdpxsaxowe90texfxhpxdacr5xs055f20ze" timestamp="1663260675"&gt;138&lt;/key&gt;&lt;/foreign-keys&gt;&lt;ref-type name="Journal Article"&gt;17&lt;/ref-type&gt;&lt;contributors&gt;&lt;authors&gt;&lt;author&gt;Bleakley, K.&lt;/author&gt;&lt;author&gt;Yamanishi, Y.&lt;/author&gt;&lt;/authors&gt;&lt;/contributors&gt;&lt;titles&gt;&lt;title&gt;Supervised prediction of drug-target interactions using bipartite local models&lt;/title&gt;&lt;secondary-title&gt;Bioinformatics&lt;/secondary-title&gt;&lt;/titles&gt;&lt;periodical&gt;&lt;full-title&gt;Bioinformatics&lt;/full-title&gt;&lt;/periodical&gt;&lt;pages&gt;2397-2403&lt;/pages&gt;&lt;volume&gt;25&lt;/volume&gt;&lt;number&gt;18&lt;/number&gt;&lt;dates&gt;&lt;year&gt;2009&lt;/year&gt;&lt;pub-dates&gt;&lt;date&gt;Sep&lt;/date&gt;&lt;/pub-dates&gt;&lt;/dates&gt;&lt;isbn&gt;1367-4803&lt;/isbn&gt;&lt;accession-num&gt;WOS:000269607700016&lt;/accession-num&gt;&lt;urls&gt;&lt;related-urls&gt;&lt;url&gt;&amp;lt;Go to ISI&amp;gt;://WOS:000269607700016&lt;/url&gt;&lt;/related-urls&gt;&lt;/urls&gt;&lt;electronic-resource-num&gt;10.1093/bioinformatics/btp433&lt;/electronic-resource-num&gt;&lt;/record&gt;&lt;/Cite&gt;&lt;/EndNote&gt;</w:instrText>
            </w:r>
            <w:r>
              <w:rPr>
                <w:sz w:val="24"/>
              </w:rPr>
              <w:fldChar w:fldCharType="separate"/>
            </w:r>
            <w:r>
              <w:rPr>
                <w:sz w:val="24"/>
                <w:vertAlign w:val="superscript"/>
              </w:rPr>
              <w:t>[</w:t>
            </w:r>
            <w:hyperlink w:anchor="_ENREF_27" w:tooltip="Bleakley, 2009 #138" w:history="1">
              <w:r>
                <w:rPr>
                  <w:sz w:val="24"/>
                  <w:vertAlign w:val="superscript"/>
                </w:rPr>
                <w:t>27</w:t>
              </w:r>
            </w:hyperlink>
            <w:r>
              <w:rPr>
                <w:sz w:val="24"/>
                <w:vertAlign w:val="superscript"/>
              </w:rPr>
              <w:t>]</w:t>
            </w:r>
            <w:r>
              <w:rPr>
                <w:sz w:val="24"/>
              </w:rPr>
              <w:fldChar w:fldCharType="end"/>
            </w:r>
            <w:r>
              <w:rPr>
                <w:rFonts w:hint="eastAsia"/>
                <w:sz w:val="24"/>
              </w:rPr>
              <w:t>开发了二分局部模型（</w:t>
            </w:r>
            <w:r>
              <w:rPr>
                <w:rFonts w:hint="eastAsia"/>
                <w:sz w:val="24"/>
              </w:rPr>
              <w:t>BLM</w:t>
            </w:r>
            <w:r>
              <w:rPr>
                <w:rFonts w:hint="eastAsia"/>
                <w:sz w:val="24"/>
              </w:rPr>
              <w:t>），通过将边缘预测问题转化为二元分类问题来预测未知的药物靶点相互作用。</w:t>
            </w:r>
            <w:r>
              <w:rPr>
                <w:sz w:val="24"/>
              </w:rPr>
              <w:t xml:space="preserve">Ding </w:t>
            </w:r>
            <w:r>
              <w:rPr>
                <w:rFonts w:hint="eastAsia"/>
                <w:sz w:val="24"/>
              </w:rPr>
              <w:t>等人</w:t>
            </w:r>
            <w:r>
              <w:rPr>
                <w:sz w:val="24"/>
              </w:rPr>
              <w:fldChar w:fldCharType="begin"/>
            </w:r>
            <w:r>
              <w:rPr>
                <w:sz w:val="24"/>
              </w:rPr>
              <w:instrText xml:space="preserve"> ADDIN EN.CITE &lt;EndNote&gt;&lt;Cite&gt;&lt;Author&gt;Ding&lt;/Author&gt;&lt;Year&gt;2022&lt;/Year&gt;&lt;RecNum&gt;215&lt;/RecNum&gt;&lt;DisplayText&gt;&lt;style face="superscript"&gt;[28]&lt;/style&gt;&lt;/DisplayText&gt;&lt;record&gt;&lt;rec-number&gt;215&lt;/rec-number&gt;&lt;foreign-keys&gt;&lt;key app="EN" db-id="pxdpxsaxowe90texfxhpxdacr5xs055f20ze" timestamp="1665994641"&gt;215&lt;/key&gt;&lt;/foreign-keys&gt;&lt;ref-type name="Journal Article"&gt;17&lt;/ref-type&gt;&lt;contributors&gt;&lt;authors&gt;&lt;author&gt;Ding, Yijie&lt;/author&gt;&lt;author&gt;Tang, Jijun&lt;/author&gt;&lt;author&gt;Guo, Fei&lt;/author&gt;&lt;author&gt;Zou, Quan&lt;/author&gt;&lt;/authors&gt;&lt;/contributors&gt;&lt;titles&gt;&lt;title&gt;Identification of drug-target interactions via multiple kernel-based triple collaborative matrix factorization&lt;/title&gt;&lt;secondary-title&gt;Briefings in Bioinformatics&lt;/secondary-title&gt;&lt;/titles&gt;&lt;periodical&gt;&lt;full-title&gt;Briefings in Bioinformatics&lt;/full-title&gt;&lt;/periodical&gt;&lt;pages&gt;bbab582&lt;/pages&gt;&lt;volume&gt;23&lt;/volume&gt;&lt;number&gt;2&lt;/number&gt;&lt;dates&gt;&lt;year&gt;2022&lt;/year&gt;&lt;pub-dates&gt;&lt;date&gt;Mar 10&lt;/date&gt;&lt;/pub-dates&gt;&lt;/dates&gt;&lt;isbn&gt;1467-5463&lt;/isbn&gt;&lt;accession-num&gt;WOS:000804196500085&lt;/accession-num&gt;&lt;urls&gt;&lt;related-urls&gt;&lt;url&gt;&amp;lt;Go to ISI&amp;gt;://WOS:000804196500085&lt;/url&gt;&lt;/related-urls&gt;&lt;/urls&gt;&lt;custom7&gt;bbab582&lt;/custom7&gt;&lt;electronic-resource-num&gt;10.1093/bib/bbab582&lt;/electronic-resource-num&gt;&lt;/record&gt;&lt;/Cite&gt;&lt;/EndNote&gt;</w:instrText>
            </w:r>
            <w:r>
              <w:rPr>
                <w:sz w:val="24"/>
              </w:rPr>
              <w:fldChar w:fldCharType="separate"/>
            </w:r>
            <w:r>
              <w:rPr>
                <w:sz w:val="24"/>
                <w:vertAlign w:val="superscript"/>
              </w:rPr>
              <w:t>[</w:t>
            </w:r>
            <w:hyperlink w:anchor="_ENREF_28" w:tooltip="Ding, 2022 #215" w:history="1">
              <w:r>
                <w:rPr>
                  <w:sz w:val="24"/>
                  <w:vertAlign w:val="superscript"/>
                </w:rPr>
                <w:t>28</w:t>
              </w:r>
            </w:hyperlink>
            <w:r>
              <w:rPr>
                <w:sz w:val="24"/>
                <w:vertAlign w:val="superscript"/>
              </w:rPr>
              <w:t>]</w:t>
            </w:r>
            <w:r>
              <w:rPr>
                <w:sz w:val="24"/>
              </w:rPr>
              <w:fldChar w:fldCharType="end"/>
            </w:r>
            <w:r>
              <w:rPr>
                <w:rFonts w:hint="eastAsia"/>
                <w:sz w:val="24"/>
              </w:rPr>
              <w:t>为了提高</w:t>
            </w:r>
            <w:r>
              <w:rPr>
                <w:sz w:val="24"/>
              </w:rPr>
              <w:t>DTI</w:t>
            </w:r>
            <w:r>
              <w:rPr>
                <w:rFonts w:hint="eastAsia"/>
                <w:sz w:val="24"/>
              </w:rPr>
              <w:t>的预测性能，分别利用分子子结构指纹、多元互信息和网络拓扑结构来表示药物、靶点及其之间的关系，最后使用支持向量机（</w:t>
            </w:r>
            <w:r>
              <w:rPr>
                <w:sz w:val="24"/>
              </w:rPr>
              <w:t>Support Vector Machine, SVM</w:t>
            </w:r>
            <w:r>
              <w:rPr>
                <w:rFonts w:hint="eastAsia"/>
                <w:sz w:val="24"/>
              </w:rPr>
              <w:t>）完成</w:t>
            </w:r>
            <w:r>
              <w:rPr>
                <w:sz w:val="24"/>
              </w:rPr>
              <w:t>DTI</w:t>
            </w:r>
            <w:r>
              <w:rPr>
                <w:rFonts w:hint="eastAsia"/>
                <w:sz w:val="24"/>
              </w:rPr>
              <w:t>的预测。</w:t>
            </w:r>
            <w:r>
              <w:rPr>
                <w:sz w:val="24"/>
              </w:rPr>
              <w:t>Mahmud</w:t>
            </w:r>
            <w:r>
              <w:rPr>
                <w:rFonts w:hint="eastAsia"/>
                <w:sz w:val="24"/>
              </w:rPr>
              <w:t>等人</w:t>
            </w:r>
            <w:r>
              <w:rPr>
                <w:sz w:val="24"/>
              </w:rPr>
              <w:fldChar w:fldCharType="begin"/>
            </w:r>
            <w:r>
              <w:rPr>
                <w:sz w:val="24"/>
              </w:rPr>
              <w:instrText xml:space="preserve"> ADDIN EN.CITE &lt;EndNote&gt;&lt;Cite&gt;&lt;Author&gt;Mahmud&lt;/Author&gt;&lt;Year&gt;2021&lt;/Year&gt;&lt;RecNum&gt;216&lt;/RecNum&gt;&lt;DisplayText&gt;&lt;style face="superscript"&gt;[29]&lt;/style&gt;&lt;/DisplayText&gt;&lt;record&gt;&lt;rec-number&gt;216&lt;/rec-number&gt;&lt;foreign-keys&gt;&lt;key app="EN" db-id="pxdpxsaxowe90texfxhpxdacr5xs055f20ze" timestamp="1665994958"&gt;216&lt;/key&gt;&lt;/foreign-keys&gt;&lt;ref-type name="Journal Article"&gt;17&lt;/ref-type&gt;&lt;contributors&gt;&lt;authors&gt;&lt;author&gt;Mahmud, S. M. Hasan&lt;/author&gt;&lt;author&gt;Chen, Wenyu&lt;/author&gt;&lt;author&gt;Liu, Yongsheng&lt;/author&gt;&lt;author&gt;Awal, Md Abdul&lt;/author&gt;&lt;author&gt;Ahmed, Kawsar&lt;/author&gt;&lt;author&gt;Rahman, Md Habibur&lt;/author&gt;&lt;author&gt;Moni, Mohammad Ali&lt;/author&gt;&lt;/authors&gt;&lt;/contributors&gt;&lt;titles&gt;&lt;title&gt;PreDTIs: prediction of drug-target interactions based on multiple feature information using gradient boosting framework with data balancing and feature selection techniques&lt;/title&gt;&lt;secondary-title&gt;Briefings in Bioinformatics&lt;/secondary-title&gt;&lt;/titles&gt;&lt;periodical&gt;&lt;full-title&gt;Briefings in Bioinformatics&lt;/full-title&gt;&lt;/periodical&gt;&lt;pages&gt;bbab046&lt;/pages&gt;&lt;volume&gt;22&lt;/volume&gt;&lt;number&gt;5&lt;/number&gt;&lt;dates&gt;&lt;year&gt;2021&lt;/year&gt;&lt;pub-dates&gt;&lt;date&gt;Sep&lt;/date&gt;&lt;/pub-dates&gt;&lt;/dates&gt;&lt;isbn&gt;1467-5463&lt;/isbn&gt;&lt;accession-num&gt;WOS:000709461800079&lt;/accession-num&gt;&lt;urls&gt;&lt;related-urls&gt;&lt;url&gt;&amp;lt;Go to ISI&amp;gt;://WOS:000709461800079&lt;/url&gt;&lt;/related-urls&gt;&lt;/urls&gt;&lt;custom7&gt;bbab046&lt;/custom7&gt;&lt;electronic-resource-num&gt;10.1093/bib/bbab046&lt;/electronic-resource-num&gt;&lt;/record&gt;&lt;/Cite&gt;&lt;/EndNote&gt;</w:instrText>
            </w:r>
            <w:r>
              <w:rPr>
                <w:sz w:val="24"/>
              </w:rPr>
              <w:fldChar w:fldCharType="separate"/>
            </w:r>
            <w:r>
              <w:rPr>
                <w:sz w:val="24"/>
                <w:vertAlign w:val="superscript"/>
              </w:rPr>
              <w:t>[</w:t>
            </w:r>
            <w:hyperlink w:anchor="_ENREF_29" w:tooltip="Mahmud, 2021 #216" w:history="1">
              <w:r>
                <w:rPr>
                  <w:sz w:val="24"/>
                  <w:vertAlign w:val="superscript"/>
                </w:rPr>
                <w:t>29</w:t>
              </w:r>
            </w:hyperlink>
            <w:r>
              <w:rPr>
                <w:sz w:val="24"/>
                <w:vertAlign w:val="superscript"/>
              </w:rPr>
              <w:t>]</w:t>
            </w:r>
            <w:r>
              <w:rPr>
                <w:sz w:val="24"/>
              </w:rPr>
              <w:fldChar w:fldCharType="end"/>
            </w:r>
            <w:r>
              <w:rPr>
                <w:rFonts w:hint="eastAsia"/>
                <w:sz w:val="24"/>
              </w:rPr>
              <w:t>利用</w:t>
            </w:r>
            <w:r>
              <w:rPr>
                <w:sz w:val="24"/>
              </w:rPr>
              <w:t xml:space="preserve"> PreDTIs</w:t>
            </w:r>
            <w:r>
              <w:rPr>
                <w:rFonts w:hint="eastAsia"/>
                <w:sz w:val="24"/>
              </w:rPr>
              <w:t>对</w:t>
            </w:r>
            <w:r>
              <w:rPr>
                <w:sz w:val="24"/>
              </w:rPr>
              <w:t>DTI</w:t>
            </w:r>
            <w:r>
              <w:rPr>
                <w:rFonts w:hint="eastAsia"/>
                <w:sz w:val="24"/>
              </w:rPr>
              <w:t>进行预测，使用</w:t>
            </w:r>
            <w:r>
              <w:rPr>
                <w:sz w:val="24"/>
              </w:rPr>
              <w:t>MACCS</w:t>
            </w:r>
            <w:r>
              <w:rPr>
                <w:rFonts w:hint="eastAsia"/>
                <w:sz w:val="24"/>
              </w:rPr>
              <w:t>指纹和氨基酸序列分别对药物化合物和靶蛋白编码。结合</w:t>
            </w:r>
            <w:r>
              <w:rPr>
                <w:sz w:val="24"/>
              </w:rPr>
              <w:t>Fast US</w:t>
            </w:r>
            <w:r>
              <w:rPr>
                <w:rFonts w:hint="eastAsia"/>
                <w:sz w:val="24"/>
              </w:rPr>
              <w:t>和</w:t>
            </w:r>
            <w:r>
              <w:rPr>
                <w:sz w:val="24"/>
              </w:rPr>
              <w:t>Mo IFS</w:t>
            </w:r>
            <w:r>
              <w:rPr>
                <w:rFonts w:hint="eastAsia"/>
                <w:sz w:val="24"/>
              </w:rPr>
              <w:t>算法处理样本特征后输入到</w:t>
            </w:r>
            <w:r>
              <w:rPr>
                <w:sz w:val="24"/>
              </w:rPr>
              <w:t>Light GBM</w:t>
            </w:r>
            <w:r>
              <w:rPr>
                <w:rFonts w:hint="eastAsia"/>
                <w:sz w:val="24"/>
              </w:rPr>
              <w:t>分类器中预测</w:t>
            </w:r>
            <w:r>
              <w:rPr>
                <w:sz w:val="24"/>
              </w:rPr>
              <w:t>DTI</w:t>
            </w:r>
            <w:r>
              <w:rPr>
                <w:rFonts w:hint="eastAsia"/>
                <w:sz w:val="24"/>
              </w:rPr>
              <w:t>。</w:t>
            </w:r>
          </w:p>
          <w:p w14:paraId="2B019DAC" w14:textId="77777777" w:rsidR="00E22223" w:rsidRDefault="00000000">
            <w:pPr>
              <w:ind w:rightChars="21" w:right="44" w:firstLineChars="200" w:firstLine="480"/>
              <w:rPr>
                <w:sz w:val="24"/>
              </w:rPr>
            </w:pPr>
            <w:r>
              <w:rPr>
                <w:rFonts w:hint="eastAsia"/>
                <w:noProof/>
                <w:sz w:val="24"/>
              </w:rPr>
              <w:drawing>
                <wp:inline distT="0" distB="0" distL="0" distR="0" wp14:anchorId="0105343B" wp14:editId="3FB17B93">
                  <wp:extent cx="4768850" cy="15163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779925" cy="1519839"/>
                          </a:xfrm>
                          <a:prstGeom prst="rect">
                            <a:avLst/>
                          </a:prstGeom>
                        </pic:spPr>
                      </pic:pic>
                    </a:graphicData>
                  </a:graphic>
                </wp:inline>
              </w:drawing>
            </w:r>
          </w:p>
          <w:p w14:paraId="780A8A4D" w14:textId="77777777" w:rsidR="00E22223" w:rsidRDefault="00000000">
            <w:pPr>
              <w:ind w:rightChars="21" w:right="44" w:firstLineChars="200" w:firstLine="480"/>
              <w:jc w:val="center"/>
              <w:rPr>
                <w:sz w:val="24"/>
              </w:rPr>
            </w:pPr>
            <w:r>
              <w:rPr>
                <w:rFonts w:hint="eastAsia"/>
                <w:sz w:val="24"/>
              </w:rPr>
              <w:t>图</w:t>
            </w:r>
            <w:r>
              <w:rPr>
                <w:rFonts w:hint="eastAsia"/>
                <w:sz w:val="24"/>
              </w:rPr>
              <w:t>2</w:t>
            </w:r>
            <w:r>
              <w:rPr>
                <w:rFonts w:hint="eastAsia"/>
                <w:sz w:val="24"/>
              </w:rPr>
              <w:t>：</w:t>
            </w:r>
            <w:r>
              <w:rPr>
                <w:rFonts w:hint="eastAsia"/>
                <w:sz w:val="24"/>
              </w:rPr>
              <w:t>Pre</w:t>
            </w:r>
            <w:r>
              <w:rPr>
                <w:sz w:val="24"/>
              </w:rPr>
              <w:t>DTI</w:t>
            </w:r>
            <w:r>
              <w:rPr>
                <w:rFonts w:hint="eastAsia"/>
                <w:sz w:val="24"/>
              </w:rPr>
              <w:t>s</w:t>
            </w:r>
            <w:r>
              <w:rPr>
                <w:rFonts w:hint="eastAsia"/>
                <w:sz w:val="24"/>
              </w:rPr>
              <w:t>识别</w:t>
            </w:r>
            <w:r>
              <w:rPr>
                <w:rFonts w:hint="eastAsia"/>
                <w:sz w:val="24"/>
              </w:rPr>
              <w:t xml:space="preserve"> DTI </w:t>
            </w:r>
            <w:r>
              <w:rPr>
                <w:rFonts w:hint="eastAsia"/>
                <w:sz w:val="24"/>
              </w:rPr>
              <w:t>的工作流程</w:t>
            </w:r>
            <w:r>
              <w:rPr>
                <w:sz w:val="24"/>
              </w:rPr>
              <w:fldChar w:fldCharType="begin"/>
            </w:r>
            <w:r>
              <w:rPr>
                <w:sz w:val="24"/>
              </w:rPr>
              <w:instrText xml:space="preserve"> ADDIN EN.CITE &lt;EndNote&gt;&lt;Cite&gt;&lt;Author&gt;Mahmud&lt;/Author&gt;&lt;Year&gt;2021&lt;/Year&gt;&lt;RecNum&gt;216&lt;/RecNum&gt;&lt;DisplayText&gt;&lt;style face="superscript"&gt;[29]&lt;/style&gt;&lt;/DisplayText&gt;&lt;record&gt;&lt;rec-number&gt;216&lt;/rec-number&gt;&lt;foreign-keys&gt;&lt;key app="EN" db-id="pxdpxsaxowe90texfxhpxdacr5xs055f20ze" timestamp="1665994958"&gt;216&lt;/key&gt;&lt;/foreign-keys&gt;&lt;ref-type name="Journal Article"&gt;17&lt;/ref-type&gt;&lt;contributors&gt;&lt;authors&gt;&lt;author&gt;Mahmud, S. M. Hasan&lt;/author&gt;&lt;author&gt;Chen, Wenyu&lt;/author&gt;&lt;author&gt;Liu, Yongsheng&lt;/author&gt;&lt;author&gt;Awal, Md Abdul&lt;/author&gt;&lt;author&gt;Ahmed, Kawsar&lt;/author&gt;&lt;author&gt;Rahman, Md Habibur&lt;/author&gt;&lt;author&gt;Moni, Mohammad Ali&lt;/author&gt;&lt;/authors&gt;&lt;/contributors&gt;&lt;titles&gt;&lt;title&gt;PreDTIs: prediction of drug-target interactions based on multiple feature information using gradient boosting framework with data balancing and feature selection techniques&lt;/title&gt;&lt;secondary-title&gt;Briefings in Bioinformatics&lt;/secondary-title&gt;&lt;/titles&gt;&lt;periodical&gt;&lt;full-title&gt;Briefings in Bioinformatics&lt;/full-title&gt;&lt;/periodical&gt;&lt;pages&gt;bbab046&lt;/pages&gt;&lt;volume&gt;22&lt;/volume&gt;&lt;number&gt;5&lt;/number&gt;&lt;dates&gt;&lt;year&gt;2021&lt;/year&gt;&lt;pub-dates&gt;&lt;date&gt;Sep&lt;/date&gt;&lt;/pub-dates&gt;&lt;/dates&gt;&lt;isbn&gt;1467-5463&lt;/isbn&gt;&lt;accession-num&gt;WOS:000709461800079&lt;/accession-num&gt;&lt;urls&gt;&lt;related-urls&gt;&lt;url&gt;&amp;lt;Go to ISI&amp;gt;://WOS:000709461800079&lt;/url&gt;&lt;/related-urls&gt;&lt;/urls&gt;&lt;custom7&gt;bbab046&lt;/custom7&gt;&lt;electronic-resource-num&gt;10.1093/bib/bbab046&lt;/electronic-resource-num&gt;&lt;/record&gt;&lt;/Cite&gt;&lt;/EndNote&gt;</w:instrText>
            </w:r>
            <w:r>
              <w:rPr>
                <w:sz w:val="24"/>
              </w:rPr>
              <w:fldChar w:fldCharType="separate"/>
            </w:r>
            <w:r>
              <w:rPr>
                <w:sz w:val="24"/>
                <w:vertAlign w:val="superscript"/>
              </w:rPr>
              <w:t>[</w:t>
            </w:r>
            <w:hyperlink w:anchor="_ENREF_29" w:tooltip="Mahmud, 2021 #216" w:history="1">
              <w:r>
                <w:rPr>
                  <w:sz w:val="24"/>
                  <w:vertAlign w:val="superscript"/>
                </w:rPr>
                <w:t>29</w:t>
              </w:r>
            </w:hyperlink>
            <w:r>
              <w:rPr>
                <w:sz w:val="24"/>
                <w:vertAlign w:val="superscript"/>
              </w:rPr>
              <w:t>]</w:t>
            </w:r>
            <w:r>
              <w:rPr>
                <w:sz w:val="24"/>
              </w:rPr>
              <w:fldChar w:fldCharType="end"/>
            </w:r>
          </w:p>
          <w:p w14:paraId="47689C5D" w14:textId="77777777" w:rsidR="00E22223" w:rsidRDefault="00E22223">
            <w:pPr>
              <w:ind w:rightChars="21" w:right="44" w:firstLineChars="200" w:firstLine="480"/>
              <w:jc w:val="center"/>
              <w:rPr>
                <w:sz w:val="24"/>
              </w:rPr>
            </w:pPr>
          </w:p>
          <w:p w14:paraId="1343874F" w14:textId="77777777" w:rsidR="00E22223" w:rsidRDefault="00000000">
            <w:pPr>
              <w:ind w:rightChars="21" w:right="44" w:firstLineChars="200" w:firstLine="480"/>
              <w:rPr>
                <w:sz w:val="24"/>
              </w:rPr>
            </w:pPr>
            <w:r>
              <w:rPr>
                <w:rFonts w:hint="eastAsia"/>
                <w:sz w:val="24"/>
              </w:rPr>
              <w:t>机器学习可能不足以获得异构数据背后的复杂隐藏特征。作为机器学习的一个发展领域，深度学习（</w:t>
            </w:r>
            <w:r>
              <w:rPr>
                <w:rFonts w:hint="eastAsia"/>
                <w:sz w:val="24"/>
              </w:rPr>
              <w:t>Deep Learning</w:t>
            </w:r>
            <w:r>
              <w:rPr>
                <w:rFonts w:hint="eastAsia"/>
                <w:sz w:val="24"/>
              </w:rPr>
              <w:t>）已经成功运用于</w:t>
            </w:r>
            <w:r>
              <w:rPr>
                <w:sz w:val="24"/>
              </w:rPr>
              <w:t>DTI</w:t>
            </w:r>
            <w:r>
              <w:rPr>
                <w:rFonts w:hint="eastAsia"/>
                <w:sz w:val="24"/>
              </w:rPr>
              <w:t>预测研究，且具有强大的能力。深度学习作为一种拥有多个隐含层的神经网络，可以在一些复杂的大型数据集上的分类任务中深度挖掘数据中的非线性关系。</w:t>
            </w:r>
            <w:r>
              <w:rPr>
                <w:sz w:val="24"/>
              </w:rPr>
              <w:t>Oztur</w:t>
            </w:r>
            <w:r>
              <w:rPr>
                <w:rFonts w:hint="eastAsia"/>
                <w:sz w:val="24"/>
              </w:rPr>
              <w:t>k</w:t>
            </w:r>
            <w:r>
              <w:rPr>
                <w:rFonts w:hint="eastAsia"/>
                <w:sz w:val="24"/>
              </w:rPr>
              <w:t>等人</w:t>
            </w:r>
            <w:r>
              <w:rPr>
                <w:sz w:val="24"/>
              </w:rPr>
              <w:lastRenderedPageBreak/>
              <w:fldChar w:fldCharType="begin"/>
            </w:r>
            <w:r>
              <w:rPr>
                <w:sz w:val="24"/>
              </w:rPr>
              <w:instrText xml:space="preserve"> ADDIN EN.CITE &lt;EndNote&gt;&lt;Cite&gt;&lt;Author&gt;Ozturk&lt;/Author&gt;&lt;Year&gt;2018&lt;/Year&gt;&lt;RecNum&gt;74&lt;/RecNum&gt;&lt;DisplayText&gt;&lt;style face="superscript"&gt;[13]&lt;/style&gt;&lt;/DisplayText&gt;&lt;record&gt;&lt;rec-number&gt;74&lt;/rec-number&gt;&lt;foreign-keys&gt;&lt;key app="EN" db-id="pxdpxsaxowe90texfxhpxdacr5xs055f20ze" timestamp="1663260727"&gt;74&lt;/key&gt;&lt;key app="ENWeb" db-id=""&gt;0&lt;/key&gt;&lt;/foreign-keys&gt;&lt;ref-type name="Journal Article"&gt;17&lt;/ref-type&gt;&lt;contributors&gt;&lt;authors&gt;&lt;author&gt;Ozturk, Hakime&lt;/author&gt;&lt;author&gt;Ozgur, Arzucan&lt;/author&gt;&lt;author&gt;Ozkirimli, Elif&lt;/author&gt;&lt;/authors&gt;&lt;/contributors&gt;&lt;titles&gt;&lt;title&gt;DeepDTA: deep drug-target binding affinity prediction&lt;/title&gt;&lt;secondary-title&gt;Bioinformatics&lt;/secondary-title&gt;&lt;/titles&gt;&lt;periodical&gt;&lt;full-title&gt;Bioinformatics&lt;/full-title&gt;&lt;/periodical&gt;&lt;pages&gt;821-829&lt;/pages&gt;&lt;volume&gt;34&lt;/volume&gt;&lt;number&gt;17&lt;/number&gt;&lt;dates&gt;&lt;year&gt;2018&lt;/year&gt;&lt;pub-dates&gt;&lt;date&gt;Sep 1&lt;/date&gt;&lt;/pub-dates&gt;&lt;/dates&gt;&lt;isbn&gt;1367-4803&lt;/isbn&gt;&lt;accession-num&gt;WOS:000444317200028&lt;/accession-num&gt;&lt;urls&gt;&lt;related-urls&gt;&lt;url&gt;&amp;lt;Go to ISI&amp;gt;://WOS:000444317200028&lt;/url&gt;&lt;/related-urls&gt;&lt;/urls&gt;&lt;electronic-resource-num&gt;10.1093/bioinformatics/bty593&lt;/electronic-resource-num&gt;&lt;/record&gt;&lt;/Cite&gt;&lt;/EndNote&gt;</w:instrText>
            </w:r>
            <w:r>
              <w:rPr>
                <w:sz w:val="24"/>
              </w:rPr>
              <w:fldChar w:fldCharType="separate"/>
            </w:r>
            <w:r>
              <w:rPr>
                <w:sz w:val="24"/>
                <w:vertAlign w:val="superscript"/>
              </w:rPr>
              <w:t>[</w:t>
            </w:r>
            <w:hyperlink w:anchor="_ENREF_13" w:tooltip="Ozturk, 2018 #74" w:history="1">
              <w:r>
                <w:rPr>
                  <w:sz w:val="24"/>
                  <w:vertAlign w:val="superscript"/>
                </w:rPr>
                <w:t>13</w:t>
              </w:r>
            </w:hyperlink>
            <w:r>
              <w:rPr>
                <w:sz w:val="24"/>
                <w:vertAlign w:val="superscript"/>
              </w:rPr>
              <w:t>]</w:t>
            </w:r>
            <w:r>
              <w:rPr>
                <w:sz w:val="24"/>
              </w:rPr>
              <w:fldChar w:fldCharType="end"/>
            </w:r>
            <w:r>
              <w:rPr>
                <w:rFonts w:hint="eastAsia"/>
                <w:sz w:val="24"/>
              </w:rPr>
              <w:t>提出了一种基于深度学习的模型</w:t>
            </w:r>
            <w:r>
              <w:rPr>
                <w:rFonts w:hint="eastAsia"/>
                <w:sz w:val="24"/>
              </w:rPr>
              <w:t>Deep</w:t>
            </w:r>
            <w:r>
              <w:rPr>
                <w:sz w:val="24"/>
              </w:rPr>
              <w:t>DTI</w:t>
            </w:r>
            <w:r>
              <w:rPr>
                <w:rFonts w:hint="eastAsia"/>
                <w:sz w:val="24"/>
              </w:rPr>
              <w:t>，该模型仅使用目标和药物的序列信息来预测</w:t>
            </w:r>
            <w:r>
              <w:rPr>
                <w:rFonts w:hint="eastAsia"/>
                <w:sz w:val="24"/>
              </w:rPr>
              <w:t xml:space="preserve"> </w:t>
            </w:r>
            <w:r>
              <w:rPr>
                <w:sz w:val="24"/>
              </w:rPr>
              <w:t>DTI</w:t>
            </w:r>
            <w:r>
              <w:rPr>
                <w:rFonts w:hint="eastAsia"/>
                <w:sz w:val="24"/>
              </w:rPr>
              <w:t>。通过</w:t>
            </w:r>
            <w:r>
              <w:rPr>
                <w:rFonts w:hint="eastAsia"/>
                <w:sz w:val="24"/>
              </w:rPr>
              <w:t xml:space="preserve"> CNN </w:t>
            </w:r>
            <w:r>
              <w:rPr>
                <w:rFonts w:hint="eastAsia"/>
                <w:sz w:val="24"/>
              </w:rPr>
              <w:t>构建药物和靶点的高级表示。</w:t>
            </w:r>
            <w:r>
              <w:rPr>
                <w:rFonts w:hint="eastAsia"/>
                <w:sz w:val="24"/>
              </w:rPr>
              <w:t>Deep</w:t>
            </w:r>
            <w:r>
              <w:rPr>
                <w:sz w:val="24"/>
              </w:rPr>
              <w:t>DTI</w:t>
            </w:r>
            <w:r>
              <w:rPr>
                <w:rFonts w:hint="eastAsia"/>
                <w:sz w:val="24"/>
              </w:rPr>
              <w:t>优于</w:t>
            </w:r>
            <w:r>
              <w:rPr>
                <w:rFonts w:hint="eastAsia"/>
                <w:sz w:val="24"/>
              </w:rPr>
              <w:t xml:space="preserve"> KronRLS </w:t>
            </w:r>
            <w:r>
              <w:rPr>
                <w:rFonts w:hint="eastAsia"/>
                <w:sz w:val="24"/>
              </w:rPr>
              <w:t>算法和</w:t>
            </w:r>
            <w:r>
              <w:rPr>
                <w:rFonts w:hint="eastAsia"/>
                <w:sz w:val="24"/>
              </w:rPr>
              <w:t xml:space="preserve"> SimBoost</w:t>
            </w:r>
            <w:r>
              <w:rPr>
                <w:rFonts w:hint="eastAsia"/>
                <w:sz w:val="24"/>
              </w:rPr>
              <w:t>，有更优秀的性能。</w:t>
            </w:r>
          </w:p>
          <w:p w14:paraId="20AAAE47" w14:textId="77777777" w:rsidR="00E22223" w:rsidRDefault="00000000">
            <w:pPr>
              <w:ind w:rightChars="21" w:right="44" w:firstLineChars="200" w:firstLine="480"/>
              <w:rPr>
                <w:sz w:val="24"/>
              </w:rPr>
            </w:pPr>
            <w:r>
              <w:rPr>
                <w:rFonts w:hint="eastAsia"/>
                <w:sz w:val="24"/>
              </w:rPr>
              <w:t>Huang</w:t>
            </w:r>
            <w:r>
              <w:rPr>
                <w:rFonts w:hint="eastAsia"/>
                <w:sz w:val="24"/>
              </w:rPr>
              <w:t>等人</w:t>
            </w:r>
            <w:r>
              <w:rPr>
                <w:sz w:val="24"/>
              </w:rPr>
              <w:fldChar w:fldCharType="begin"/>
            </w:r>
            <w:r>
              <w:rPr>
                <w:sz w:val="24"/>
              </w:rPr>
              <w:instrText xml:space="preserve"> ADDIN EN.CITE &lt;EndNote&gt;&lt;Cite&gt;&lt;Author&gt;Huang&lt;/Author&gt;&lt;Year&gt;2020&lt;/Year&gt;&lt;RecNum&gt;218&lt;/RecNum&gt;&lt;DisplayText&gt;&lt;style face="superscript"&gt;[30]&lt;/style&gt;&lt;/DisplayText&gt;&lt;record&gt;&lt;rec-number&gt;218&lt;/rec-number&gt;&lt;foreign-keys&gt;&lt;key app="EN" db-id="pxdpxsaxowe90texfxhpxdacr5xs055f20ze" timestamp="1666000953"&gt;218&lt;/key&gt;&lt;/foreign-keys&gt;&lt;ref-type name="Journal Article"&gt;17&lt;/ref-type&gt;&lt;contributors&gt;&lt;authors&gt;&lt;author&gt;Huang, Kexin&lt;/author&gt;&lt;author&gt;Xiao, Cao&lt;/author&gt;&lt;author&gt;Glass, Lucas M&lt;/author&gt;&lt;author&gt;Sun, Jimeng&lt;/author&gt;&lt;/authors&gt;&lt;/contributors&gt;&lt;titles&gt;&lt;title&gt;MolTrans: Molecular Interaction Transformer for drug–target interaction prediction&lt;/title&gt;&lt;secondary-title&gt;Bioinformatics&lt;/secondary-title&gt;&lt;/titles&gt;&lt;periodical&gt;&lt;full-title&gt;Bioinformatics&lt;/full-title&gt;&lt;/periodical&gt;&lt;pages&gt;830-836&lt;/pages&gt;&lt;volume&gt;37&lt;/volume&gt;&lt;number&gt;6&lt;/number&gt;&lt;dates&gt;&lt;year&gt;2020&lt;/year&gt;&lt;/dates&gt;&lt;isbn&gt;1367-4803&lt;/isbn&gt;&lt;urls&gt;&lt;related-urls&gt;&lt;url&gt;https://doi.org/10.1093/bioinformatics/btaa880&lt;/url&gt;&lt;/related-urls&gt;&lt;/urls&gt;&lt;electronic-resource-num&gt;10.1093/bioinformatics/btaa880&lt;/electronic-resource-num&gt;&lt;access-date&gt;10/17/2022&lt;/access-date&gt;&lt;/record&gt;&lt;/Cite&gt;&lt;/EndNote&gt;</w:instrText>
            </w:r>
            <w:r>
              <w:rPr>
                <w:sz w:val="24"/>
              </w:rPr>
              <w:fldChar w:fldCharType="separate"/>
            </w:r>
            <w:r>
              <w:rPr>
                <w:sz w:val="24"/>
                <w:vertAlign w:val="superscript"/>
              </w:rPr>
              <w:t>[</w:t>
            </w:r>
            <w:hyperlink w:anchor="_ENREF_30" w:tooltip="Huang, 2020 #218" w:history="1">
              <w:r>
                <w:rPr>
                  <w:sz w:val="24"/>
                  <w:vertAlign w:val="superscript"/>
                </w:rPr>
                <w:t>30</w:t>
              </w:r>
            </w:hyperlink>
            <w:r>
              <w:rPr>
                <w:sz w:val="24"/>
                <w:vertAlign w:val="superscript"/>
              </w:rPr>
              <w:t>]</w:t>
            </w:r>
            <w:r>
              <w:rPr>
                <w:sz w:val="24"/>
              </w:rPr>
              <w:fldChar w:fldCharType="end"/>
            </w:r>
            <w:r>
              <w:rPr>
                <w:rFonts w:hint="eastAsia"/>
                <w:sz w:val="24"/>
              </w:rPr>
              <w:t>提出了一种基于分子交互的</w:t>
            </w:r>
            <w:r>
              <w:rPr>
                <w:rFonts w:hint="eastAsia"/>
                <w:sz w:val="24"/>
              </w:rPr>
              <w:t xml:space="preserve">Transformer </w:t>
            </w:r>
            <w:r>
              <w:rPr>
                <w:rFonts w:hint="eastAsia"/>
                <w:sz w:val="24"/>
              </w:rPr>
              <w:t>（</w:t>
            </w:r>
            <w:r>
              <w:rPr>
                <w:rFonts w:hint="eastAsia"/>
                <w:sz w:val="24"/>
              </w:rPr>
              <w:t>MolTrans</w:t>
            </w:r>
            <w:r>
              <w:rPr>
                <w:rFonts w:hint="eastAsia"/>
                <w:sz w:val="24"/>
              </w:rPr>
              <w:t>）</w:t>
            </w:r>
            <w:r>
              <w:rPr>
                <w:rFonts w:hint="eastAsia"/>
                <w:sz w:val="24"/>
              </w:rPr>
              <w:t xml:space="preserve"> </w:t>
            </w:r>
            <w:r>
              <w:rPr>
                <w:rFonts w:hint="eastAsia"/>
                <w:sz w:val="24"/>
              </w:rPr>
              <w:t>，研究者使用</w:t>
            </w:r>
            <w:r>
              <w:rPr>
                <w:rFonts w:hint="eastAsia"/>
                <w:sz w:val="24"/>
              </w:rPr>
              <w:t xml:space="preserve">FCS </w:t>
            </w:r>
            <w:r>
              <w:rPr>
                <w:rFonts w:hint="eastAsia"/>
                <w:sz w:val="24"/>
              </w:rPr>
              <w:t>挖掘模块将药物与蛋白质分解为明确的子结构序列。通过增强的</w:t>
            </w:r>
            <w:r>
              <w:rPr>
                <w:rFonts w:hint="eastAsia"/>
                <w:sz w:val="24"/>
              </w:rPr>
              <w:t>Transformer</w:t>
            </w:r>
            <w:r>
              <w:rPr>
                <w:rFonts w:hint="eastAsia"/>
                <w:sz w:val="24"/>
              </w:rPr>
              <w:t>编码器为每个子结构获得增强的上下文嵌入，在交互图上应用</w:t>
            </w:r>
            <w:r>
              <w:rPr>
                <w:rFonts w:hint="eastAsia"/>
                <w:sz w:val="24"/>
              </w:rPr>
              <w:t xml:space="preserve"> CNN </w:t>
            </w:r>
            <w:r>
              <w:rPr>
                <w:rFonts w:hint="eastAsia"/>
                <w:sz w:val="24"/>
              </w:rPr>
              <w:t>层以捕获高阶交互，最终完成</w:t>
            </w:r>
            <w:r>
              <w:rPr>
                <w:rFonts w:hint="eastAsia"/>
                <w:sz w:val="24"/>
              </w:rPr>
              <w:t>D</w:t>
            </w:r>
            <w:r>
              <w:rPr>
                <w:sz w:val="24"/>
              </w:rPr>
              <w:t>TI</w:t>
            </w:r>
            <w:r>
              <w:rPr>
                <w:rFonts w:hint="eastAsia"/>
                <w:sz w:val="24"/>
              </w:rPr>
              <w:t>预测。</w:t>
            </w:r>
            <w:r>
              <w:rPr>
                <w:rFonts w:hint="eastAsia"/>
                <w:sz w:val="24"/>
              </w:rPr>
              <w:t>L</w:t>
            </w:r>
            <w:r>
              <w:rPr>
                <w:sz w:val="24"/>
              </w:rPr>
              <w:t>iu</w:t>
            </w:r>
            <w:r>
              <w:rPr>
                <w:rFonts w:hint="eastAsia"/>
                <w:sz w:val="24"/>
              </w:rPr>
              <w:t>等人</w:t>
            </w:r>
            <w:r>
              <w:rPr>
                <w:sz w:val="24"/>
              </w:rPr>
              <w:fldChar w:fldCharType="begin"/>
            </w:r>
            <w:r>
              <w:rPr>
                <w:sz w:val="24"/>
              </w:rPr>
              <w:instrText xml:space="preserve"> ADDIN EN.CITE &lt;EndNote&gt;&lt;Cite&gt;&lt;Author&gt;Liu&lt;/Author&gt;&lt;Year&gt;2022&lt;/Year&gt;&lt;RecNum&gt;220&lt;/RecNum&gt;&lt;DisplayText&gt;&lt;style face="superscript"&gt;[31]&lt;/style&gt;&lt;/DisplayText&gt;&lt;record&gt;&lt;rec-number&gt;220&lt;/rec-number&gt;&lt;foreign-keys&gt;&lt;key app="EN" db-id="pxdpxsaxowe90texfxhpxdacr5xs055f20ze" timestamp="1666001279"&gt;220&lt;/key&gt;&lt;/foreign-keys&gt;&lt;ref-type name="Journal Article"&gt;17&lt;/ref-type&gt;&lt;contributors&gt;&lt;authors&gt;&lt;author&gt;Liu, Siyuan&lt;/author&gt;&lt;author&gt;Wang, Yusong&lt;/author&gt;&lt;author&gt;Deng, Yifan&lt;/author&gt;&lt;author&gt;He, Liang&lt;/author&gt;&lt;author&gt;Shao, Bin&lt;/author&gt;&lt;author&gt;Yin, Jian&lt;/author&gt;&lt;author&gt;Zheng, Nanning&lt;/author&gt;&lt;author&gt;Liu, Tie-Yan&lt;/author&gt;&lt;author&gt;Wang, Tong&lt;/author&gt;&lt;/authors&gt;&lt;/contributors&gt;&lt;titles&gt;&lt;title&gt;Improved drug–target interaction prediction with intermolecular graph transformer&lt;/title&gt;&lt;secondary-title&gt;Briefings in Bioinformatics&lt;/secondary-title&gt;&lt;/titles&gt;&lt;periodical&gt;&lt;full-title&gt;Briefings in Bioinformatics&lt;/full-title&gt;&lt;/periodical&gt;&lt;pages&gt;bbac162&lt;/pages&gt;&lt;volume&gt;23&lt;/volume&gt;&lt;number&gt;5&lt;/number&gt;&lt;dates&gt;&lt;year&gt;2022&lt;/year&gt;&lt;/dates&gt;&lt;isbn&gt;1477-4054&lt;/isbn&gt;&lt;urls&gt;&lt;related-urls&gt;&lt;url&gt;https://doi.org/10.1093/bib/bbac162&lt;/url&gt;&lt;/related-urls&gt;&lt;/urls&gt;&lt;custom1&gt;bbac162&lt;/custom1&gt;&lt;electronic-resource-num&gt;10.1093/bib/bbac162&lt;/electronic-resource-num&gt;&lt;access-date&gt;10/17/2022&lt;/access-date&gt;&lt;/record&gt;&lt;/Cite&gt;&lt;/EndNote&gt;</w:instrText>
            </w:r>
            <w:r>
              <w:rPr>
                <w:sz w:val="24"/>
              </w:rPr>
              <w:fldChar w:fldCharType="separate"/>
            </w:r>
            <w:r>
              <w:rPr>
                <w:sz w:val="24"/>
                <w:vertAlign w:val="superscript"/>
              </w:rPr>
              <w:t>[</w:t>
            </w:r>
            <w:hyperlink w:anchor="_ENREF_31" w:tooltip="Liu, 2022 #220" w:history="1">
              <w:r>
                <w:rPr>
                  <w:sz w:val="24"/>
                  <w:vertAlign w:val="superscript"/>
                </w:rPr>
                <w:t>31</w:t>
              </w:r>
            </w:hyperlink>
            <w:r>
              <w:rPr>
                <w:sz w:val="24"/>
                <w:vertAlign w:val="superscript"/>
              </w:rPr>
              <w:t>]</w:t>
            </w:r>
            <w:r>
              <w:rPr>
                <w:sz w:val="24"/>
              </w:rPr>
              <w:fldChar w:fldCharType="end"/>
            </w:r>
            <w:r>
              <w:rPr>
                <w:rFonts w:hint="eastAsia"/>
                <w:sz w:val="24"/>
              </w:rPr>
              <w:t>提出分子间图的</w:t>
            </w:r>
            <w:r>
              <w:rPr>
                <w:rFonts w:hint="eastAsia"/>
                <w:sz w:val="24"/>
              </w:rPr>
              <w:t>Transformer</w:t>
            </w:r>
            <w:r>
              <w:rPr>
                <w:rFonts w:hint="eastAsia"/>
                <w:sz w:val="24"/>
              </w:rPr>
              <w:t>（</w:t>
            </w:r>
            <w:r>
              <w:rPr>
                <w:rFonts w:hint="eastAsia"/>
                <w:sz w:val="24"/>
              </w:rPr>
              <w:t>I</w:t>
            </w:r>
            <w:r>
              <w:rPr>
                <w:sz w:val="24"/>
              </w:rPr>
              <w:t>GT</w:t>
            </w:r>
            <w:r>
              <w:rPr>
                <w:rFonts w:hint="eastAsia"/>
                <w:sz w:val="24"/>
              </w:rPr>
              <w:t>）该方法对受体图、配体图和复杂图进行单独处理，采用分子间注意力机制通过三向转换器对分子间信息进行建模。以此为启发，可以将药物与蛋白质序列信息通过</w:t>
            </w:r>
            <w:r>
              <w:rPr>
                <w:rFonts w:hint="eastAsia"/>
                <w:sz w:val="24"/>
              </w:rPr>
              <w:t>Transformer</w:t>
            </w:r>
            <w:r>
              <w:rPr>
                <w:rFonts w:hint="eastAsia"/>
                <w:sz w:val="24"/>
              </w:rPr>
              <w:t>进行编码，从而解决</w:t>
            </w:r>
            <w:r>
              <w:rPr>
                <w:rFonts w:hint="eastAsia"/>
                <w:sz w:val="24"/>
              </w:rPr>
              <w:t xml:space="preserve">DTI </w:t>
            </w:r>
            <w:r>
              <w:rPr>
                <w:rFonts w:hint="eastAsia"/>
                <w:sz w:val="24"/>
              </w:rPr>
              <w:t>的子结构性质和未标记分子数据问题。</w:t>
            </w:r>
            <w:r>
              <w:rPr>
                <w:rFonts w:hint="eastAsia"/>
                <w:sz w:val="24"/>
              </w:rPr>
              <w:t>Wang</w:t>
            </w:r>
            <w:r>
              <w:rPr>
                <w:rFonts w:hint="eastAsia"/>
                <w:sz w:val="24"/>
              </w:rPr>
              <w:t>等人</w:t>
            </w:r>
            <w:r>
              <w:rPr>
                <w:sz w:val="24"/>
              </w:rPr>
              <w:fldChar w:fldCharType="begin"/>
            </w:r>
            <w:r>
              <w:rPr>
                <w:sz w:val="24"/>
              </w:rPr>
              <w:instrText xml:space="preserve"> ADDIN EN.CITE &lt;EndNote&gt;&lt;Cite&gt;&lt;Author&gt;Wang&lt;/Author&gt;&lt;Year&gt;2022&lt;/Year&gt;&lt;RecNum&gt;226&lt;/RecNum&gt;&lt;DisplayText&gt;&lt;style face="superscript"&gt;[32]&lt;/style&gt;&lt;/DisplayText&gt;&lt;record&gt;&lt;rec-number&gt;226&lt;/rec-number&gt;&lt;foreign-keys&gt;&lt;key app="EN" db-id="pxdpxsaxowe90texfxhpxdacr5xs055f20ze" timestamp="1666635658"&gt;226&lt;/key&gt;&lt;/foreign-keys&gt;&lt;ref-type name="Journal Article"&gt;17&lt;/ref-type&gt;&lt;contributors&gt;&lt;authors&gt;&lt;author&gt;Wang, Junjie&lt;/author&gt;&lt;author&gt;Hu, Jie&lt;/author&gt;&lt;author&gt;Sun, Huiting&lt;/author&gt;&lt;author&gt;Xu, MengDie&lt;/author&gt;&lt;author&gt;Yu, Yun&lt;/author&gt;&lt;author&gt;Liu, Yun&lt;/author&gt;&lt;author&gt;Cheng, Liang&lt;/author&gt;&lt;/authors&gt;&lt;/contributors&gt;&lt;titles&gt;&lt;title&gt;MGPLI: exploring multigranular representations for protein–ligand interaction prediction&lt;/title&gt;&lt;secondary-title&gt;Bioinformatics&lt;/secondary-title&gt;&lt;/titles&gt;&lt;periodical&gt;&lt;full-title&gt;Bioinformatics&lt;/full-title&gt;&lt;/periodical&gt;&lt;pages&gt;btac597&lt;/pages&gt;&lt;dates&gt;&lt;year&gt;2022&lt;/year&gt;&lt;/dates&gt;&lt;isbn&gt;1367-4803&lt;/isbn&gt;&lt;urls&gt;&lt;related-urls&gt;&lt;url&gt;https://doi.org/10.1093/bioinformatics/btac597&lt;/url&gt;&lt;/related-urls&gt;&lt;/urls&gt;&lt;custom1&gt;btac597&lt;/custom1&gt;&lt;electronic-resource-num&gt;10.1093/bioinformatics/btac597&lt;/electronic-resource-num&gt;&lt;access-date&gt;10/24/2022&lt;/access-date&gt;&lt;/record&gt;&lt;/Cite&gt;&lt;/EndNote&gt;</w:instrText>
            </w:r>
            <w:r>
              <w:rPr>
                <w:sz w:val="24"/>
              </w:rPr>
              <w:fldChar w:fldCharType="separate"/>
            </w:r>
            <w:r>
              <w:rPr>
                <w:sz w:val="24"/>
                <w:vertAlign w:val="superscript"/>
              </w:rPr>
              <w:t>[</w:t>
            </w:r>
            <w:hyperlink w:anchor="_ENREF_32" w:tooltip="Wang, 2022 #226" w:history="1">
              <w:r>
                <w:rPr>
                  <w:sz w:val="24"/>
                  <w:vertAlign w:val="superscript"/>
                </w:rPr>
                <w:t>32</w:t>
              </w:r>
            </w:hyperlink>
            <w:r>
              <w:rPr>
                <w:sz w:val="24"/>
                <w:vertAlign w:val="superscript"/>
              </w:rPr>
              <w:t>]</w:t>
            </w:r>
            <w:r>
              <w:rPr>
                <w:sz w:val="24"/>
              </w:rPr>
              <w:fldChar w:fldCharType="end"/>
            </w:r>
            <w:r>
              <w:rPr>
                <w:rFonts w:hint="eastAsia"/>
                <w:sz w:val="24"/>
              </w:rPr>
              <w:t>提出一种多粒性靶点</w:t>
            </w:r>
            <w:r>
              <w:rPr>
                <w:rFonts w:hint="eastAsia"/>
                <w:sz w:val="24"/>
              </w:rPr>
              <w:t>-</w:t>
            </w:r>
            <w:r>
              <w:rPr>
                <w:rFonts w:hint="eastAsia"/>
                <w:sz w:val="24"/>
              </w:rPr>
              <w:t>配体相互作用模型（</w:t>
            </w:r>
            <w:r>
              <w:rPr>
                <w:rFonts w:hint="eastAsia"/>
                <w:sz w:val="24"/>
              </w:rPr>
              <w:t>M</w:t>
            </w:r>
            <w:r>
              <w:rPr>
                <w:sz w:val="24"/>
              </w:rPr>
              <w:t>GPLI</w:t>
            </w:r>
            <w:r>
              <w:rPr>
                <w:rFonts w:hint="eastAsia"/>
                <w:sz w:val="24"/>
              </w:rPr>
              <w:t>），采用</w:t>
            </w:r>
            <w:r>
              <w:rPr>
                <w:rFonts w:hint="eastAsia"/>
                <w:sz w:val="24"/>
              </w:rPr>
              <w:t>Transformer</w:t>
            </w:r>
            <w:r>
              <w:rPr>
                <w:rFonts w:hint="eastAsia"/>
                <w:sz w:val="24"/>
              </w:rPr>
              <w:t>编码器表示字符级特征和片段级特征，模拟残基与原子或其片段之间可能的相互作用。使用卷积神经网络根据</w:t>
            </w:r>
            <w:r>
              <w:rPr>
                <w:rFonts w:hint="eastAsia"/>
                <w:sz w:val="24"/>
              </w:rPr>
              <w:t>Transformer</w:t>
            </w:r>
            <w:r>
              <w:rPr>
                <w:rFonts w:hint="eastAsia"/>
                <w:sz w:val="24"/>
              </w:rPr>
              <w:t>编码器输出提取更高级的特征并融合蛋白质和药物特征。</w:t>
            </w:r>
          </w:p>
          <w:p w14:paraId="4EECA5B2" w14:textId="77777777" w:rsidR="00E22223" w:rsidRDefault="00000000">
            <w:pPr>
              <w:ind w:rightChars="21" w:right="44"/>
              <w:jc w:val="center"/>
              <w:rPr>
                <w:sz w:val="24"/>
              </w:rPr>
            </w:pPr>
            <w:r>
              <w:rPr>
                <w:noProof/>
                <w:sz w:val="24"/>
              </w:rPr>
              <w:drawing>
                <wp:inline distT="0" distB="0" distL="0" distR="0" wp14:anchorId="16DE7C77" wp14:editId="705999CC">
                  <wp:extent cx="3775710" cy="2261235"/>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5355" cy="2267293"/>
                          </a:xfrm>
                          <a:prstGeom prst="rect">
                            <a:avLst/>
                          </a:prstGeom>
                        </pic:spPr>
                      </pic:pic>
                    </a:graphicData>
                  </a:graphic>
                </wp:inline>
              </w:drawing>
            </w:r>
          </w:p>
          <w:p w14:paraId="679D7793" w14:textId="77777777" w:rsidR="00E22223" w:rsidRDefault="00000000">
            <w:pPr>
              <w:ind w:rightChars="21" w:right="44"/>
              <w:jc w:val="center"/>
              <w:rPr>
                <w:sz w:val="24"/>
              </w:rPr>
            </w:pPr>
            <w:r>
              <w:rPr>
                <w:rFonts w:hint="eastAsia"/>
                <w:sz w:val="24"/>
              </w:rPr>
              <w:t>图</w:t>
            </w:r>
            <w:r>
              <w:rPr>
                <w:rFonts w:hint="eastAsia"/>
                <w:sz w:val="24"/>
              </w:rPr>
              <w:t>3</w:t>
            </w:r>
            <w:r>
              <w:rPr>
                <w:sz w:val="24"/>
              </w:rPr>
              <w:t>:MGPLI</w:t>
            </w:r>
            <w:r>
              <w:rPr>
                <w:rFonts w:hint="eastAsia"/>
                <w:sz w:val="24"/>
              </w:rPr>
              <w:t>的模型结构</w:t>
            </w:r>
            <w:r>
              <w:rPr>
                <w:sz w:val="24"/>
              </w:rPr>
              <w:fldChar w:fldCharType="begin"/>
            </w:r>
            <w:r>
              <w:rPr>
                <w:sz w:val="24"/>
              </w:rPr>
              <w:instrText xml:space="preserve"> ADDIN EN.CITE &lt;EndNote&gt;&lt;Cite&gt;&lt;Author&gt;Wang&lt;/Author&gt;&lt;Year&gt;2022&lt;/Year&gt;&lt;RecNum&gt;226&lt;/RecNum&gt;&lt;DisplayText&gt;&lt;style face="superscript"&gt;[32]&lt;/style&gt;&lt;/DisplayText&gt;&lt;record&gt;&lt;rec-number&gt;226&lt;/rec-number&gt;&lt;foreign-keys&gt;&lt;key app="EN" db-id="pxdpxsaxowe90texfxhpxdacr5xs055f20ze" timestamp="1666635658"&gt;226&lt;/key&gt;&lt;/foreign-keys&gt;&lt;ref-type name="Journal Article"&gt;17&lt;/ref-type&gt;&lt;contributors&gt;&lt;authors&gt;&lt;author&gt;Wang, Junjie&lt;/author&gt;&lt;author&gt;Hu, Jie&lt;/author&gt;&lt;author&gt;Sun, Huiting&lt;/author&gt;&lt;author&gt;Xu, MengDie&lt;/author&gt;&lt;author&gt;Yu, Yun&lt;/author&gt;&lt;author&gt;Liu, Yun&lt;/author&gt;&lt;author&gt;Cheng, Liang&lt;/author&gt;&lt;/authors&gt;&lt;/contributors&gt;&lt;titles&gt;&lt;title&gt;MGPLI: exploring multigranular representations for protein–ligand interaction prediction&lt;/title&gt;&lt;secondary-title&gt;Bioinformatics&lt;/secondary-title&gt;&lt;/titles&gt;&lt;periodical&gt;&lt;full-title&gt;Bioinformatics&lt;/full-title&gt;&lt;/periodical&gt;&lt;pages&gt;btac597&lt;/pages&gt;&lt;dates&gt;&lt;year&gt;2022&lt;/year&gt;&lt;/dates&gt;&lt;isbn&gt;1367-4803&lt;/isbn&gt;&lt;urls&gt;&lt;related-urls&gt;&lt;url&gt;https://doi.org/10.1093/bioinformatics/btac597&lt;/url&gt;&lt;/related-urls&gt;&lt;/urls&gt;&lt;custom1&gt;btac597&lt;/custom1&gt;&lt;electronic-resource-num&gt;10.1093/bioinformatics/btac597&lt;/electronic-resource-num&gt;&lt;access-date&gt;10/24/2022&lt;/access-date&gt;&lt;/record&gt;&lt;/Cite&gt;&lt;/EndNote&gt;</w:instrText>
            </w:r>
            <w:r>
              <w:rPr>
                <w:sz w:val="24"/>
              </w:rPr>
              <w:fldChar w:fldCharType="separate"/>
            </w:r>
            <w:r>
              <w:rPr>
                <w:sz w:val="24"/>
                <w:vertAlign w:val="superscript"/>
              </w:rPr>
              <w:t>[</w:t>
            </w:r>
            <w:hyperlink w:anchor="_ENREF_32" w:tooltip="Wang, 2022 #226" w:history="1">
              <w:r>
                <w:rPr>
                  <w:sz w:val="24"/>
                  <w:vertAlign w:val="superscript"/>
                </w:rPr>
                <w:t>32</w:t>
              </w:r>
            </w:hyperlink>
            <w:r>
              <w:rPr>
                <w:sz w:val="24"/>
                <w:vertAlign w:val="superscript"/>
              </w:rPr>
              <w:t>]</w:t>
            </w:r>
            <w:r>
              <w:rPr>
                <w:sz w:val="24"/>
              </w:rPr>
              <w:fldChar w:fldCharType="end"/>
            </w:r>
          </w:p>
          <w:p w14:paraId="1F014168" w14:textId="77777777" w:rsidR="00E22223" w:rsidRDefault="00E22223">
            <w:pPr>
              <w:ind w:rightChars="21" w:right="44"/>
              <w:jc w:val="center"/>
              <w:rPr>
                <w:sz w:val="24"/>
              </w:rPr>
            </w:pPr>
          </w:p>
          <w:p w14:paraId="0E37080E" w14:textId="77777777" w:rsidR="00E22223" w:rsidRDefault="00000000">
            <w:pPr>
              <w:ind w:rightChars="21" w:right="44" w:firstLineChars="200" w:firstLine="480"/>
              <w:rPr>
                <w:sz w:val="24"/>
              </w:rPr>
            </w:pPr>
            <w:r>
              <w:rPr>
                <w:rFonts w:hint="eastAsia"/>
                <w:sz w:val="24"/>
              </w:rPr>
              <w:t>在深度学习中，图神经网络（</w:t>
            </w:r>
            <w:r>
              <w:rPr>
                <w:rFonts w:hint="eastAsia"/>
                <w:sz w:val="24"/>
              </w:rPr>
              <w:t>GNN</w:t>
            </w:r>
            <w:r>
              <w:rPr>
                <w:rFonts w:hint="eastAsia"/>
                <w:sz w:val="24"/>
              </w:rPr>
              <w:t>）的快速发展将深度学习的应用扩展到了图结构领域，相关方法也应用于药物发现</w:t>
            </w:r>
            <w:r>
              <w:rPr>
                <w:sz w:val="24"/>
              </w:rPr>
              <w:fldChar w:fldCharType="begin"/>
            </w:r>
            <w:r>
              <w:rPr>
                <w:sz w:val="24"/>
              </w:rPr>
              <w:instrText xml:space="preserve"> ADDIN EN.CITE &lt;EndNote&gt;&lt;Cite&gt;&lt;Author&gt;Abbasi&lt;/Author&gt;&lt;Year&gt;2020&lt;/Year&gt;&lt;RecNum&gt;221&lt;/RecNum&gt;&lt;DisplayText&gt;&lt;style face="superscript"&gt;[17]&lt;/style&gt;&lt;/DisplayText&gt;&lt;record&gt;&lt;rec-number&gt;221&lt;/rec-number&gt;&lt;foreign-keys&gt;&lt;key app="EN" db-id="pxdpxsaxowe90texfxhpxdacr5xs055f20ze" timestamp="1666001407"&gt;221&lt;/key&gt;&lt;/foreign-keys&gt;&lt;ref-type name="Journal Article"&gt;17&lt;/ref-type&gt;&lt;contributors&gt;&lt;authors&gt;&lt;author&gt;Abbasi, Karim&lt;/author&gt;&lt;author&gt;Razzaghi, Parvin&lt;/author&gt;&lt;author&gt;Poso, Antti&lt;/author&gt;&lt;author&gt;Amanlou, Massoud&lt;/author&gt;&lt;author&gt;Ghasemi, Jahan B.&lt;/author&gt;&lt;author&gt;Masoudi-Nejad, Ali&lt;/author&gt;&lt;/authors&gt;&lt;/contributors&gt;&lt;titles&gt;&lt;title&gt;DeepCDA: deep cross-domain compound-protein affinity prediction through LSTM and convolutional neural networks&lt;/title&gt;&lt;secondary-title&gt;Bioinformatics&lt;/secondary-title&gt;&lt;/titles&gt;&lt;periodical&gt;&lt;full-title&gt;Bioinformatics&lt;/full-title&gt;&lt;/periodical&gt;&lt;pages&gt;4633-4642&lt;/pages&gt;&lt;volume&gt;36&lt;/volume&gt;&lt;number&gt;17&lt;/number&gt;&lt;dates&gt;&lt;year&gt;2020&lt;/year&gt;&lt;pub-dates&gt;&lt;date&gt;Sep 1&lt;/date&gt;&lt;/pub-dates&gt;&lt;/dates&gt;&lt;isbn&gt;1367-4803&lt;/isbn&gt;&lt;accession-num&gt;WOS:000592968900013&lt;/accession-num&gt;&lt;urls&gt;&lt;related-urls&gt;&lt;url&gt;&amp;lt;Go to ISI&amp;gt;://WOS:000592968900013&lt;/url&gt;&lt;/related-urls&gt;&lt;/urls&gt;&lt;electronic-resource-num&gt;10.1093/bioinformatics/btaa544&lt;/electronic-resource-num&gt;&lt;/record&gt;&lt;/Cite&gt;&lt;/EndNote&gt;</w:instrText>
            </w:r>
            <w:r>
              <w:rPr>
                <w:sz w:val="24"/>
              </w:rPr>
              <w:fldChar w:fldCharType="separate"/>
            </w:r>
            <w:r>
              <w:rPr>
                <w:sz w:val="24"/>
                <w:vertAlign w:val="superscript"/>
              </w:rPr>
              <w:t>[</w:t>
            </w:r>
            <w:hyperlink w:anchor="_ENREF_17" w:tooltip="Abbasi, 2020 #221" w:history="1">
              <w:r>
                <w:rPr>
                  <w:sz w:val="24"/>
                  <w:vertAlign w:val="superscript"/>
                </w:rPr>
                <w:t>17</w:t>
              </w:r>
            </w:hyperlink>
            <w:r>
              <w:rPr>
                <w:sz w:val="24"/>
                <w:vertAlign w:val="superscript"/>
              </w:rPr>
              <w:t>]</w:t>
            </w:r>
            <w:r>
              <w:rPr>
                <w:sz w:val="24"/>
              </w:rPr>
              <w:fldChar w:fldCharType="end"/>
            </w:r>
            <w:r>
              <w:rPr>
                <w:rFonts w:hint="eastAsia"/>
                <w:sz w:val="24"/>
              </w:rPr>
              <w:t>。</w:t>
            </w:r>
            <w:r>
              <w:rPr>
                <w:rFonts w:hint="eastAsia"/>
                <w:sz w:val="24"/>
              </w:rPr>
              <w:t>Nguyen</w:t>
            </w:r>
            <w:r>
              <w:rPr>
                <w:rFonts w:hint="eastAsia"/>
                <w:sz w:val="24"/>
              </w:rPr>
              <w:t>等人</w:t>
            </w:r>
            <w:r>
              <w:rPr>
                <w:sz w:val="24"/>
              </w:rPr>
              <w:fldChar w:fldCharType="begin"/>
            </w:r>
            <w:r>
              <w:rPr>
                <w:sz w:val="24"/>
              </w:rPr>
              <w:instrText xml:space="preserve"> ADDIN EN.CITE &lt;EndNote&gt;&lt;Cite&gt;&lt;Author&gt;Nguyen&lt;/Author&gt;&lt;Year&gt;2020&lt;/Year&gt;&lt;RecNum&gt;222&lt;/RecNum&gt;&lt;DisplayText&gt;&lt;style face="superscript"&gt;[33]&lt;/style&gt;&lt;/DisplayText&gt;&lt;record&gt;&lt;rec-number&gt;222&lt;/rec-number&gt;&lt;foreign-keys&gt;&lt;key app="EN" db-id="pxdpxsaxowe90texfxhpxdacr5xs055f20ze" timestamp="1666001463"&gt;222&lt;/key&gt;&lt;/foreign-keys&gt;&lt;ref-type name="Journal Article"&gt;17&lt;/ref-type&gt;&lt;contributors&gt;&lt;authors&gt;&lt;author&gt;Nguyen, Thin&lt;/author&gt;&lt;author&gt;Le, Hang&lt;/author&gt;&lt;author&gt;Quinn, Thomas P&lt;/author&gt;&lt;author&gt;Nguyen, Tri&lt;/author&gt;&lt;author&gt;Le, Thuc Duy&lt;/author&gt;&lt;author&gt;Venkatesh, Svetha&lt;/author&gt;&lt;/authors&gt;&lt;/contributors&gt;&lt;titles&gt;&lt;title&gt;GraphDTA: predicting drug–target binding affinity with graph neural networks&lt;/title&gt;&lt;secondary-title&gt;Bioinformatics&lt;/secondary-title&gt;&lt;/titles&gt;&lt;periodical&gt;&lt;full-title&gt;Bioinformatics&lt;/full-title&gt;&lt;/periodical&gt;&lt;pages&gt;1140-1147&lt;/pages&gt;&lt;volume&gt;37&lt;/volume&gt;&lt;number&gt;8&lt;/number&gt;&lt;dates&gt;&lt;year&gt;2020&lt;/year&gt;&lt;/dates&gt;&lt;isbn&gt;1367-4803&lt;/isbn&gt;&lt;urls&gt;&lt;related-urls&gt;&lt;url&gt;https://doi.org/10.1093/bioinformatics/btaa921&lt;/url&gt;&lt;/related-urls&gt;&lt;/urls&gt;&lt;electronic-resource-num&gt;10.1093/bioinformatics/btaa921&lt;/electronic-resource-num&gt;&lt;access-date&gt;10/17/2022&lt;/access-date&gt;&lt;/record&gt;&lt;/Cite&gt;&lt;/EndNote&gt;</w:instrText>
            </w:r>
            <w:r>
              <w:rPr>
                <w:sz w:val="24"/>
              </w:rPr>
              <w:fldChar w:fldCharType="separate"/>
            </w:r>
            <w:r>
              <w:rPr>
                <w:sz w:val="24"/>
                <w:vertAlign w:val="superscript"/>
              </w:rPr>
              <w:t>[</w:t>
            </w:r>
            <w:hyperlink w:anchor="_ENREF_33" w:tooltip="Nguyen, 2020 #222" w:history="1">
              <w:r>
                <w:rPr>
                  <w:sz w:val="24"/>
                  <w:vertAlign w:val="superscript"/>
                </w:rPr>
                <w:t>33</w:t>
              </w:r>
            </w:hyperlink>
            <w:r>
              <w:rPr>
                <w:sz w:val="24"/>
                <w:vertAlign w:val="superscript"/>
              </w:rPr>
              <w:t>]</w:t>
            </w:r>
            <w:r>
              <w:rPr>
                <w:sz w:val="24"/>
              </w:rPr>
              <w:fldChar w:fldCharType="end"/>
            </w:r>
            <w:r>
              <w:rPr>
                <w:rFonts w:hint="eastAsia"/>
                <w:sz w:val="24"/>
              </w:rPr>
              <w:t>提出了一种名为</w:t>
            </w:r>
            <w:r>
              <w:rPr>
                <w:rFonts w:hint="eastAsia"/>
                <w:sz w:val="24"/>
              </w:rPr>
              <w:t xml:space="preserve"> GraphDTA </w:t>
            </w:r>
            <w:r>
              <w:rPr>
                <w:rFonts w:hint="eastAsia"/>
                <w:sz w:val="24"/>
              </w:rPr>
              <w:t>的模型，该模型将药物表示为图形，输入药物</w:t>
            </w:r>
            <w:r>
              <w:rPr>
                <w:rFonts w:hint="eastAsia"/>
                <w:sz w:val="24"/>
              </w:rPr>
              <w:t>-</w:t>
            </w:r>
            <w:r>
              <w:rPr>
                <w:rFonts w:hint="eastAsia"/>
                <w:sz w:val="24"/>
              </w:rPr>
              <w:t>靶点对，输出该对的结合亲和力的连续测量，使用图神经网络来预测药物与靶点的亲和力。</w:t>
            </w:r>
            <w:r>
              <w:rPr>
                <w:rFonts w:hint="eastAsia"/>
                <w:sz w:val="24"/>
              </w:rPr>
              <w:t>Shao</w:t>
            </w:r>
            <w:r>
              <w:rPr>
                <w:rFonts w:hint="eastAsia"/>
                <w:sz w:val="24"/>
              </w:rPr>
              <w:t>等人</w:t>
            </w:r>
            <w:r>
              <w:rPr>
                <w:sz w:val="24"/>
              </w:rPr>
              <w:fldChar w:fldCharType="begin"/>
            </w:r>
            <w:r>
              <w:rPr>
                <w:sz w:val="24"/>
              </w:rPr>
              <w:instrText xml:space="preserve"> ADDIN EN.CITE &lt;EndNote&gt;&lt;Cite&gt;&lt;Author&gt;Shao&lt;/Author&gt;&lt;Year&gt;2022&lt;/Year&gt;&lt;RecNum&gt;223&lt;/RecNum&gt;&lt;DisplayText&gt;&lt;style face="superscript"&gt;[34]&lt;/style&gt;&lt;/DisplayText&gt;&lt;record&gt;&lt;rec-number&gt;223&lt;/rec-number&gt;&lt;foreign-keys&gt;&lt;key app="EN" db-id="pxdpxsaxowe90texfxhpxdacr5xs055f20ze" timestamp="1666001508"&gt;223&lt;/key&gt;&lt;/foreign-keys&gt;&lt;ref-type name="Journal Article"&gt;17&lt;/ref-type&gt;&lt;contributors&gt;&lt;authors&gt;&lt;author&gt;Shao, Kanghao&lt;/author&gt;&lt;author&gt;Zhang, Yunhao&lt;/author&gt;&lt;author&gt;Wen, Yuqi&lt;/author&gt;&lt;author&gt;Zhang, Zhongnan&lt;/author&gt;&lt;author&gt;He, Song&lt;/author&gt;&lt;author&gt;Bo, Xiaochen&lt;/author&gt;&lt;/authors&gt;&lt;/contributors&gt;&lt;titles&gt;&lt;title&gt;DTI-HETA: prediction of drug–target interactions based on GCN and GAT on heterogeneous graph&lt;/title&gt;&lt;secondary-title&gt;Briefings in Bioinformatics&lt;/secondary-title&gt;&lt;/titles&gt;&lt;periodical&gt;&lt;full-title&gt;Briefings in Bioinformatics&lt;/full-title&gt;&lt;/periodical&gt;&lt;pages&gt;bbac109&lt;/pages&gt;&lt;volume&gt;23&lt;/volume&gt;&lt;number&gt;3&lt;/number&gt;&lt;dates&gt;&lt;year&gt;2022&lt;/year&gt;&lt;/dates&gt;&lt;isbn&gt;1477-4054&lt;/isbn&gt;&lt;urls&gt;&lt;related-urls&gt;&lt;url&gt;https://doi.org/10.1093/bib/bbac109&lt;/url&gt;&lt;/related-urls&gt;&lt;/urls&gt;&lt;custom1&gt;bbac109&lt;/custom1&gt;&lt;electronic-resource-num&gt;10.1093/bib/bbac109&lt;/electronic-resource-num&gt;&lt;access-date&gt;10/17/2022&lt;/access-date&gt;&lt;/record&gt;&lt;/Cite&gt;&lt;/EndNote&gt;</w:instrText>
            </w:r>
            <w:r>
              <w:rPr>
                <w:sz w:val="24"/>
              </w:rPr>
              <w:fldChar w:fldCharType="separate"/>
            </w:r>
            <w:r>
              <w:rPr>
                <w:sz w:val="24"/>
                <w:vertAlign w:val="superscript"/>
              </w:rPr>
              <w:t>[</w:t>
            </w:r>
            <w:hyperlink w:anchor="_ENREF_34" w:tooltip="Shao, 2022 #223" w:history="1">
              <w:r>
                <w:rPr>
                  <w:sz w:val="24"/>
                  <w:vertAlign w:val="superscript"/>
                </w:rPr>
                <w:t>34</w:t>
              </w:r>
            </w:hyperlink>
            <w:r>
              <w:rPr>
                <w:sz w:val="24"/>
                <w:vertAlign w:val="superscript"/>
              </w:rPr>
              <w:t>]</w:t>
            </w:r>
            <w:r>
              <w:rPr>
                <w:sz w:val="24"/>
              </w:rPr>
              <w:fldChar w:fldCharType="end"/>
            </w:r>
            <w:r>
              <w:rPr>
                <w:rFonts w:hint="eastAsia"/>
                <w:sz w:val="24"/>
              </w:rPr>
              <w:t>提出了一种基于具有注意力机制的异构图的端到端模型（</w:t>
            </w:r>
            <w:r>
              <w:rPr>
                <w:rFonts w:hint="eastAsia"/>
                <w:sz w:val="24"/>
              </w:rPr>
              <w:t>DTI-HETA</w:t>
            </w:r>
            <w:r>
              <w:rPr>
                <w:rFonts w:hint="eastAsia"/>
                <w:sz w:val="24"/>
              </w:rPr>
              <w:t>）。该模型在药物靶点信息构造的异构图上利用图卷积神经网络获得药物和靶点的嵌入表示，并在节点的信息聚合过程中引入了图注意力机制（</w:t>
            </w:r>
            <w:r>
              <w:rPr>
                <w:rFonts w:hint="eastAsia"/>
                <w:sz w:val="24"/>
              </w:rPr>
              <w:t>G</w:t>
            </w:r>
            <w:r>
              <w:rPr>
                <w:sz w:val="24"/>
              </w:rPr>
              <w:t>AT</w:t>
            </w:r>
            <w:r>
              <w:rPr>
                <w:rFonts w:hint="eastAsia"/>
                <w:sz w:val="24"/>
              </w:rPr>
              <w:t>），最后应用内积解码器来预测</w:t>
            </w:r>
            <w:r>
              <w:rPr>
                <w:rFonts w:hint="eastAsia"/>
                <w:sz w:val="24"/>
              </w:rPr>
              <w:t>DTI</w:t>
            </w:r>
            <w:r>
              <w:rPr>
                <w:rFonts w:hint="eastAsia"/>
                <w:sz w:val="24"/>
              </w:rPr>
              <w:t>。</w:t>
            </w:r>
            <w:r>
              <w:rPr>
                <w:rFonts w:hint="eastAsia"/>
                <w:sz w:val="24"/>
              </w:rPr>
              <w:t>Li</w:t>
            </w:r>
            <w:r>
              <w:rPr>
                <w:rFonts w:hint="eastAsia"/>
                <w:sz w:val="24"/>
              </w:rPr>
              <w:t>等人</w:t>
            </w:r>
            <w:r>
              <w:rPr>
                <w:sz w:val="24"/>
              </w:rPr>
              <w:fldChar w:fldCharType="begin"/>
            </w:r>
            <w:r>
              <w:rPr>
                <w:sz w:val="24"/>
              </w:rPr>
              <w:instrText xml:space="preserve"> ADDIN EN.CITE &lt;EndNote&gt;&lt;Cite&gt;&lt;Author&gt;Li&lt;/Author&gt;&lt;Year&gt;2022&lt;/Year&gt;&lt;RecNum&gt;224&lt;/RecNum&gt;&lt;DisplayText&gt;&lt;style face="superscript"&gt;[35]&lt;/style&gt;&lt;/DisplayText&gt;&lt;record&gt;&lt;rec-number&gt;224&lt;/rec-number&gt;&lt;foreign-keys&gt;&lt;key app="EN" db-id="pxdpxsaxowe90texfxhpxdacr5xs055f20ze" timestamp="1666003208"&gt;224&lt;/key&gt;&lt;/foreign-keys&gt;&lt;ref-type name="Journal Article"&gt;17&lt;/ref-type&gt;&lt;contributors&gt;&lt;authors&gt;&lt;author&gt;Li, Xiao-Shuang&lt;/author&gt;&lt;author&gt;Liu, Xiang&lt;/author&gt;&lt;author&gt;Lu, Le&lt;/author&gt;&lt;author&gt;Hua, Xian-Sheng&lt;/author&gt;&lt;author&gt;Chi, Ying&lt;/author&gt;&lt;author&gt;Xia, Kelin&lt;/author&gt;&lt;/authors&gt;&lt;/contributors&gt;&lt;titles&gt;&lt;title&gt;Multiphysical graph neural network (MP-GNN) for COVID-19 drug design&lt;/title&gt;&lt;secondary-title&gt;Briefings in Bioinformatics&lt;/secondary-title&gt;&lt;/titles&gt;&lt;periodical&gt;&lt;full-title&gt;Briefings in Bioinformatics&lt;/full-title&gt;&lt;/periodical&gt;&lt;pages&gt;bbac231&lt;/pages&gt;&lt;volume&gt;23&lt;/volume&gt;&lt;number&gt;4&lt;/number&gt;&lt;dates&gt;&lt;year&gt;2022&lt;/year&gt;&lt;/dates&gt;&lt;isbn&gt;1477-4054&lt;/isbn&gt;&lt;urls&gt;&lt;related-urls&gt;&lt;url&gt;https://doi.org/10.1093/bib/bbac231&lt;/url&gt;&lt;/related-urls&gt;&lt;/urls&gt;&lt;custom1&gt;bbac231&lt;/custom1&gt;&lt;electronic-resource-num&gt;10.1093/bib/bbac231&lt;/electronic-resource-num&gt;&lt;access-date&gt;10/17/2022&lt;/access-date&gt;&lt;/record&gt;&lt;/Cite&gt;&lt;/EndNote&gt;</w:instrText>
            </w:r>
            <w:r>
              <w:rPr>
                <w:sz w:val="24"/>
              </w:rPr>
              <w:fldChar w:fldCharType="separate"/>
            </w:r>
            <w:r>
              <w:rPr>
                <w:sz w:val="24"/>
                <w:vertAlign w:val="superscript"/>
              </w:rPr>
              <w:t>[</w:t>
            </w:r>
            <w:hyperlink w:anchor="_ENREF_35" w:tooltip="Li, 2022 #224" w:history="1">
              <w:r>
                <w:rPr>
                  <w:sz w:val="24"/>
                  <w:vertAlign w:val="superscript"/>
                </w:rPr>
                <w:t>35</w:t>
              </w:r>
            </w:hyperlink>
            <w:r>
              <w:rPr>
                <w:sz w:val="24"/>
                <w:vertAlign w:val="superscript"/>
              </w:rPr>
              <w:t>]</w:t>
            </w:r>
            <w:r>
              <w:rPr>
                <w:sz w:val="24"/>
              </w:rPr>
              <w:fldChar w:fldCharType="end"/>
            </w:r>
            <w:r>
              <w:rPr>
                <w:rFonts w:hint="eastAsia"/>
                <w:sz w:val="24"/>
              </w:rPr>
              <w:t>提出了一种基于特定尺度和特定原子分子图的多物理图神经网络模型（</w:t>
            </w:r>
            <w:r>
              <w:rPr>
                <w:rFonts w:hint="eastAsia"/>
                <w:sz w:val="24"/>
              </w:rPr>
              <w:t>MP-GNN</w:t>
            </w:r>
            <w:r>
              <w:rPr>
                <w:rFonts w:hint="eastAsia"/>
                <w:sz w:val="24"/>
              </w:rPr>
              <w:t>），从特定尺度和特定元素去衡量相互作用的类型，并建立了一系列表示相互作用的图表示。用特定权重共享结构构造图卷积网络（</w:t>
            </w:r>
            <w:r>
              <w:rPr>
                <w:rFonts w:hint="eastAsia"/>
                <w:sz w:val="24"/>
              </w:rPr>
              <w:t>GCN</w:t>
            </w:r>
            <w:r>
              <w:rPr>
                <w:rFonts w:hint="eastAsia"/>
                <w:sz w:val="24"/>
              </w:rPr>
              <w:t>）模型，并将单尺度和多尺度集成学习方案进一步整合。</w:t>
            </w:r>
            <w:r>
              <w:rPr>
                <w:rFonts w:hint="eastAsia"/>
                <w:sz w:val="24"/>
              </w:rPr>
              <w:t>Cheng</w:t>
            </w:r>
            <w:r>
              <w:rPr>
                <w:rFonts w:hint="eastAsia"/>
                <w:sz w:val="24"/>
              </w:rPr>
              <w:t>等人</w:t>
            </w:r>
            <w:r>
              <w:rPr>
                <w:sz w:val="24"/>
              </w:rPr>
              <w:fldChar w:fldCharType="begin"/>
            </w:r>
            <w:r>
              <w:rPr>
                <w:sz w:val="24"/>
              </w:rPr>
              <w:instrText xml:space="preserve"> ADDIN EN.CITE &lt;EndNote&gt;&lt;Cite&gt;&lt;Author&gt;Cheng&lt;/Author&gt;&lt;Year&gt;2022&lt;/Year&gt;&lt;RecNum&gt;225&lt;/RecNum&gt;&lt;DisplayText&gt;&lt;style face="superscript"&gt;[36]&lt;/style&gt;&lt;/DisplayText&gt;&lt;record&gt;&lt;rec-number&gt;225&lt;/rec-number&gt;&lt;foreign-keys&gt;&lt;key app="EN" db-id="pxdpxsaxowe90texfxhpxdacr5xs055f20ze" timestamp="1666003252"&gt;225&lt;/key&gt;&lt;/foreign-keys&gt;&lt;ref-type name="Journal Article"&gt;17&lt;/ref-type&gt;&lt;contributors&gt;&lt;authors&gt;&lt;author&gt;Cheng, Zhongjian&lt;/author&gt;&lt;author&gt;Zhao, Qichang&lt;/author&gt;&lt;author&gt;Li, Yaohang&lt;/author&gt;&lt;author&gt;Wang, Jianxin&lt;/author&gt;&lt;/authors&gt;&lt;/contributors&gt;&lt;titles&gt;&lt;title&gt;IIFDTI: predicting drug–target interactions through interactive and independent features based on attention mechanism&lt;/title&gt;&lt;secondary-title&gt;Bioinformatics&lt;/secondary-title&gt;&lt;/titles&gt;&lt;periodical&gt;&lt;full-title&gt;Bioinformatics&lt;/full-title&gt;&lt;/periodical&gt;&lt;pages&gt;4153-4161&lt;/pages&gt;&lt;volume&gt;38&lt;/volume&gt;&lt;number&gt;17&lt;/number&gt;&lt;dates&gt;&lt;year&gt;2022&lt;/year&gt;&lt;/dates&gt;&lt;isbn&gt;1367-4803&lt;/isbn&gt;&lt;urls&gt;&lt;related-urls&gt;&lt;url&gt;https://doi.org/10.1093/bioinformatics/btac485&lt;/url&gt;&lt;/related-urls&gt;&lt;/urls&gt;&lt;electronic-resource-num&gt;10.1093/bioinformatics/btac485&lt;/electronic-resource-num&gt;&lt;access-date&gt;10/17/2022&lt;/access-date&gt;&lt;/record&gt;&lt;/Cite&gt;&lt;/EndNote&gt;</w:instrText>
            </w:r>
            <w:r>
              <w:rPr>
                <w:sz w:val="24"/>
              </w:rPr>
              <w:fldChar w:fldCharType="separate"/>
            </w:r>
            <w:r>
              <w:rPr>
                <w:sz w:val="24"/>
                <w:vertAlign w:val="superscript"/>
              </w:rPr>
              <w:t>[</w:t>
            </w:r>
            <w:hyperlink w:anchor="_ENREF_36" w:tooltip="Cheng, 2022 #225" w:history="1">
              <w:r>
                <w:rPr>
                  <w:sz w:val="24"/>
                  <w:vertAlign w:val="superscript"/>
                </w:rPr>
                <w:t>36</w:t>
              </w:r>
            </w:hyperlink>
            <w:r>
              <w:rPr>
                <w:sz w:val="24"/>
                <w:vertAlign w:val="superscript"/>
              </w:rPr>
              <w:t>]</w:t>
            </w:r>
            <w:r>
              <w:rPr>
                <w:sz w:val="24"/>
              </w:rPr>
              <w:fldChar w:fldCharType="end"/>
            </w:r>
            <w:r>
              <w:rPr>
                <w:rFonts w:hint="eastAsia"/>
                <w:sz w:val="24"/>
              </w:rPr>
              <w:t>提出了</w:t>
            </w:r>
            <w:r>
              <w:rPr>
                <w:rFonts w:hint="eastAsia"/>
                <w:sz w:val="24"/>
              </w:rPr>
              <w:t>IIFDTI</w:t>
            </w:r>
            <w:r>
              <w:rPr>
                <w:rFonts w:hint="eastAsia"/>
                <w:sz w:val="24"/>
              </w:rPr>
              <w:t>，利用双向编码器</w:t>
            </w:r>
            <w:r>
              <w:rPr>
                <w:rFonts w:hint="eastAsia"/>
                <w:sz w:val="24"/>
              </w:rPr>
              <w:t>-</w:t>
            </w:r>
            <w:r>
              <w:rPr>
                <w:rFonts w:hint="eastAsia"/>
                <w:sz w:val="24"/>
              </w:rPr>
              <w:t>解码器架构，分别通过图神经网络和卷积神经网络提取药物和靶点的独立特征，将其融合并输入到下游任务中的完全连接的密集层中，实现</w:t>
            </w:r>
            <w:r>
              <w:rPr>
                <w:rFonts w:hint="eastAsia"/>
                <w:sz w:val="24"/>
              </w:rPr>
              <w:t>D</w:t>
            </w:r>
            <w:r>
              <w:rPr>
                <w:sz w:val="24"/>
              </w:rPr>
              <w:t>TI</w:t>
            </w:r>
            <w:r>
              <w:rPr>
                <w:rFonts w:hint="eastAsia"/>
                <w:sz w:val="24"/>
              </w:rPr>
              <w:t>预测。</w:t>
            </w:r>
          </w:p>
          <w:p w14:paraId="703CA952" w14:textId="77777777" w:rsidR="00E22223" w:rsidRDefault="00000000">
            <w:pPr>
              <w:ind w:rightChars="21" w:right="44" w:firstLineChars="200" w:firstLine="480"/>
              <w:rPr>
                <w:sz w:val="24"/>
              </w:rPr>
            </w:pPr>
            <w:r>
              <w:rPr>
                <w:rFonts w:hint="eastAsia"/>
                <w:noProof/>
                <w:sz w:val="24"/>
              </w:rPr>
              <w:lastRenderedPageBreak/>
              <w:drawing>
                <wp:inline distT="0" distB="0" distL="0" distR="0" wp14:anchorId="386E2CA2" wp14:editId="75B310B3">
                  <wp:extent cx="4802505" cy="203200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23871" cy="2040824"/>
                          </a:xfrm>
                          <a:prstGeom prst="rect">
                            <a:avLst/>
                          </a:prstGeom>
                        </pic:spPr>
                      </pic:pic>
                    </a:graphicData>
                  </a:graphic>
                </wp:inline>
              </w:drawing>
            </w:r>
          </w:p>
          <w:p w14:paraId="62389D62" w14:textId="77777777" w:rsidR="00E22223" w:rsidRDefault="00000000">
            <w:pPr>
              <w:ind w:rightChars="21" w:right="44" w:firstLineChars="200" w:firstLine="480"/>
              <w:jc w:val="center"/>
              <w:rPr>
                <w:sz w:val="24"/>
              </w:rPr>
            </w:pPr>
            <w:r>
              <w:rPr>
                <w:rFonts w:hint="eastAsia"/>
                <w:sz w:val="24"/>
              </w:rPr>
              <w:t>图</w:t>
            </w:r>
            <w:r>
              <w:rPr>
                <w:rFonts w:hint="eastAsia"/>
                <w:sz w:val="24"/>
              </w:rPr>
              <w:t>4</w:t>
            </w:r>
            <w:r>
              <w:rPr>
                <w:rFonts w:hint="eastAsia"/>
                <w:sz w:val="24"/>
              </w:rPr>
              <w:t>：</w:t>
            </w:r>
            <w:r>
              <w:rPr>
                <w:rFonts w:hint="eastAsia"/>
                <w:sz w:val="24"/>
              </w:rPr>
              <w:t>D</w:t>
            </w:r>
            <w:r>
              <w:rPr>
                <w:sz w:val="24"/>
              </w:rPr>
              <w:t>TI-HETA</w:t>
            </w:r>
            <w:r>
              <w:rPr>
                <w:rFonts w:hint="eastAsia"/>
                <w:sz w:val="24"/>
              </w:rPr>
              <w:t>详细工作流程，包括图构建、图嵌入和链接预测</w:t>
            </w:r>
            <w:r>
              <w:rPr>
                <w:sz w:val="24"/>
              </w:rPr>
              <w:fldChar w:fldCharType="begin"/>
            </w:r>
            <w:r>
              <w:rPr>
                <w:sz w:val="24"/>
              </w:rPr>
              <w:instrText xml:space="preserve"> ADDIN EN.CITE &lt;EndNote&gt;&lt;Cite&gt;&lt;Author&gt;Shao&lt;/Author&gt;&lt;Year&gt;2022&lt;/Year&gt;&lt;RecNum&gt;223&lt;/RecNum&gt;&lt;DisplayText&gt;&lt;style face="superscript"&gt;[34]&lt;/style&gt;&lt;/DisplayText&gt;&lt;record&gt;&lt;rec-number&gt;223&lt;/rec-number&gt;&lt;foreign-keys&gt;&lt;key app="EN" db-id="pxdpxsaxowe90texfxhpxdacr5xs055f20ze" timestamp="1666001508"&gt;223&lt;/key&gt;&lt;/foreign-keys&gt;&lt;ref-type name="Journal Article"&gt;17&lt;/ref-type&gt;&lt;contributors&gt;&lt;authors&gt;&lt;author&gt;Shao, Kanghao&lt;/author&gt;&lt;author&gt;Zhang, Yunhao&lt;/author&gt;&lt;author&gt;Wen, Yuqi&lt;/author&gt;&lt;author&gt;Zhang, Zhongnan&lt;/author&gt;&lt;author&gt;He, Song&lt;/author&gt;&lt;author&gt;Bo, Xiaochen&lt;/author&gt;&lt;/authors&gt;&lt;/contributors&gt;&lt;titles&gt;&lt;title&gt;DTI-HETA: prediction of drug–target interactions based on GCN and GAT on heterogeneous graph&lt;/title&gt;&lt;secondary-title&gt;Briefings in Bioinformatics&lt;/secondary-title&gt;&lt;/titles&gt;&lt;periodical&gt;&lt;full-title&gt;Briefings in Bioinformatics&lt;/full-title&gt;&lt;/periodical&gt;&lt;pages&gt;bbac109&lt;/pages&gt;&lt;volume&gt;23&lt;/volume&gt;&lt;number&gt;3&lt;/number&gt;&lt;dates&gt;&lt;year&gt;2022&lt;/year&gt;&lt;/dates&gt;&lt;isbn&gt;1477-4054&lt;/isbn&gt;&lt;urls&gt;&lt;related-urls&gt;&lt;url&gt;https://doi.org/10.1093/bib/bbac109&lt;/url&gt;&lt;/related-urls&gt;&lt;/urls&gt;&lt;custom1&gt;bbac109&lt;/custom1&gt;&lt;electronic-resource-num&gt;10.1093/bib/bbac109&lt;/electronic-resource-num&gt;&lt;access-date&gt;10/17/2022&lt;/access-date&gt;&lt;/record&gt;&lt;/Cite&gt;&lt;/EndNote&gt;</w:instrText>
            </w:r>
            <w:r>
              <w:rPr>
                <w:sz w:val="24"/>
              </w:rPr>
              <w:fldChar w:fldCharType="separate"/>
            </w:r>
            <w:r>
              <w:rPr>
                <w:sz w:val="24"/>
                <w:vertAlign w:val="superscript"/>
              </w:rPr>
              <w:t>[</w:t>
            </w:r>
            <w:hyperlink w:anchor="_ENREF_34" w:tooltip="Shao, 2022 #223" w:history="1">
              <w:r>
                <w:rPr>
                  <w:sz w:val="24"/>
                  <w:vertAlign w:val="superscript"/>
                </w:rPr>
                <w:t>34</w:t>
              </w:r>
            </w:hyperlink>
            <w:r>
              <w:rPr>
                <w:sz w:val="24"/>
                <w:vertAlign w:val="superscript"/>
              </w:rPr>
              <w:t>]</w:t>
            </w:r>
            <w:r>
              <w:rPr>
                <w:sz w:val="24"/>
              </w:rPr>
              <w:fldChar w:fldCharType="end"/>
            </w:r>
            <w:r>
              <w:rPr>
                <w:rFonts w:hint="eastAsia"/>
                <w:sz w:val="24"/>
              </w:rPr>
              <w:t>。</w:t>
            </w:r>
          </w:p>
          <w:p w14:paraId="30FA9657" w14:textId="77777777" w:rsidR="00E22223" w:rsidRDefault="00000000">
            <w:pPr>
              <w:ind w:rightChars="21" w:right="44" w:firstLineChars="200" w:firstLine="480"/>
              <w:rPr>
                <w:sz w:val="24"/>
              </w:rPr>
            </w:pPr>
            <w:r>
              <w:rPr>
                <w:rFonts w:hint="eastAsia"/>
                <w:sz w:val="24"/>
              </w:rPr>
              <w:t>基于机器学习的</w:t>
            </w:r>
            <w:r>
              <w:rPr>
                <w:sz w:val="24"/>
              </w:rPr>
              <w:t>DTI</w:t>
            </w:r>
            <w:r>
              <w:rPr>
                <w:rFonts w:hint="eastAsia"/>
                <w:sz w:val="24"/>
              </w:rPr>
              <w:t>预测研究不仅可以弥补传统实验预测的不足，减少了资源的消耗，还可以拓宽实验方法的思路，并为药物研发、寻找药物作用的新靶点提供了一种有力的工具。但是仍然存在一些问题未得到解决，药物和靶点之间的内在联系还未挖掘充分，因此</w:t>
            </w:r>
            <w:r>
              <w:rPr>
                <w:sz w:val="24"/>
              </w:rPr>
              <w:t>DTI</w:t>
            </w:r>
            <w:r>
              <w:rPr>
                <w:rFonts w:hint="eastAsia"/>
                <w:sz w:val="24"/>
              </w:rPr>
              <w:t>的预测研究仍有很大的提升空间和重要的研究价值。</w:t>
            </w:r>
          </w:p>
          <w:p w14:paraId="18664400" w14:textId="77777777" w:rsidR="00E22223" w:rsidRDefault="00000000">
            <w:pPr>
              <w:ind w:rightChars="21" w:right="44" w:firstLineChars="200" w:firstLine="480"/>
              <w:rPr>
                <w:sz w:val="24"/>
              </w:rPr>
            </w:pPr>
            <w:r>
              <w:rPr>
                <w:rFonts w:hint="eastAsia"/>
                <w:sz w:val="24"/>
              </w:rPr>
              <w:t>新冠药物的的研发也取得长足进展，在针对</w:t>
            </w:r>
            <w:r>
              <w:rPr>
                <w:rFonts w:hint="eastAsia"/>
                <w:sz w:val="24"/>
              </w:rPr>
              <w:t>SARS-CoV-2</w:t>
            </w:r>
            <w:r>
              <w:rPr>
                <w:rFonts w:hint="eastAsia"/>
                <w:sz w:val="24"/>
              </w:rPr>
              <w:t>的最新计算药物定位策略中，研究人员采用了基于基因组序列的计算技术，如流量平衡分析（</w:t>
            </w:r>
            <w:r>
              <w:rPr>
                <w:sz w:val="24"/>
              </w:rPr>
              <w:t>FBA</w:t>
            </w:r>
            <w:r>
              <w:rPr>
                <w:rFonts w:hint="eastAsia"/>
                <w:sz w:val="24"/>
              </w:rPr>
              <w:t>），这种方法在病毒宿主细胞识别、代谢模型的使用上具有局限性。基因表达计算技术中，签名匹配专门应用于新冠肺炎，并被证明具有潜在的治疗益处，其常用方法为基因集浓缩分析。然而摄取数据的数量限制了这些方法的应用。</w:t>
            </w:r>
          </w:p>
          <w:p w14:paraId="264B76EA" w14:textId="77777777" w:rsidR="00E22223" w:rsidRDefault="00000000">
            <w:pPr>
              <w:ind w:rightChars="21" w:right="44" w:firstLineChars="200" w:firstLine="480"/>
              <w:rPr>
                <w:sz w:val="24"/>
              </w:rPr>
            </w:pPr>
            <w:r>
              <w:rPr>
                <w:rFonts w:hint="eastAsia"/>
                <w:sz w:val="24"/>
              </w:rPr>
              <w:t>基于化学结构的计算技术中，研究人员使用神经网络来预测分子与蛋白质之间的联系。</w:t>
            </w:r>
            <w:r>
              <w:rPr>
                <w:rFonts w:hint="eastAsia"/>
                <w:sz w:val="24"/>
              </w:rPr>
              <w:t>Ke</w:t>
            </w:r>
            <w:r>
              <w:rPr>
                <w:rFonts w:hint="eastAsia"/>
                <w:sz w:val="24"/>
              </w:rPr>
              <w:t>等人</w:t>
            </w:r>
            <w:r>
              <w:rPr>
                <w:sz w:val="24"/>
              </w:rPr>
              <w:fldChar w:fldCharType="begin"/>
            </w:r>
            <w:r>
              <w:rPr>
                <w:sz w:val="24"/>
              </w:rPr>
              <w:instrText xml:space="preserve"> ADDIN EN.CITE &lt;EndNote&gt;&lt;Cite&gt;&lt;Author&gt;Yi-Yu&lt;/Author&gt;&lt;Year&gt;2020&lt;/Year&gt;&lt;RecNum&gt;232&lt;/RecNum&gt;&lt;DisplayText&gt;&lt;style face="superscript"&gt;[37]&lt;/style&gt;&lt;/DisplayText&gt;&lt;record&gt;&lt;rec-number&gt;232&lt;/rec-number&gt;&lt;foreign-keys&gt;&lt;key app="EN" db-id="pxdpxsaxowe90texfxhpxdacr5xs055f20ze" timestamp="1668709274"&gt;232&lt;/key&gt;&lt;/foreign-keys&gt;&lt;ref-type name="Journal Article"&gt;17&lt;/ref-type&gt;&lt;contributors&gt;&lt;authors&gt;&lt;author&gt;Yi-Yu, Ke&lt;/author&gt;&lt;author&gt;Tzu-Ting, Peng&lt;/author&gt;&lt;author&gt;Teng-Kuang, Yeh&lt;/author&gt;&lt;author&gt;Wen-Zheng, Huang&lt;/author&gt;&lt;author&gt;Shao-En, Chang&lt;/author&gt;&lt;author&gt;Szu-Huei, Wu&lt;/author&gt;&lt;author&gt;Hui-Chen, Hung&lt;/author&gt;&lt;author&gt;Tsu-An, Hsu&lt;/author&gt;&lt;author&gt;Shiow-Ju, Lee&lt;/author&gt;&lt;author&gt;Jeng-Shin, Song&lt;/author&gt;&lt;author&gt;Wen-Hsing, Lin&lt;/author&gt;&lt;author&gt;Tung-Jung, Chiang&lt;/author&gt;&lt;author&gt;Jiunn-Horng, Lin&lt;/author&gt;&lt;author&gt;Huey-Kang, Sytwu&lt;/author&gt;&lt;author&gt;Chiung-Tong, Chen&lt;/author&gt;&lt;/authors&gt;&lt;/contributors&gt;&lt;titles&gt;&lt;title&gt;Artificial intelligence approach fighting COVID-19 with repurposing drugs&lt;/title&gt;&lt;secondary-title&gt;Biomedical Journal&lt;/secondary-title&gt;&lt;/titles&gt;&lt;periodical&gt;&lt;full-title&gt;Biomedical Journal&lt;/full-title&gt;&lt;/periodical&gt;&lt;pages&gt;355-362&lt;/pages&gt;&lt;volume&gt;43&lt;/volume&gt;&lt;number&gt;4&lt;/number&gt;&lt;keywords&gt;&lt;keyword&gt;AI, DNN, COVID-19, SARS-CoV-2, Feline coronavirus, Drug repurposing&lt;/keyword&gt;&lt;/keywords&gt;&lt;dates&gt;&lt;year&gt;2020&lt;/year&gt;&lt;/dates&gt;&lt;isbn&gt;2319-4170&lt;/isbn&gt;&lt;accession-num&gt;KE2020355&lt;/accession-num&gt;&lt;urls&gt;&lt;related-urls&gt;&lt;url&gt;https://www.sciencedirect.com/science/article/pii/S2319417020300494&lt;/url&gt;&lt;/related-urls&gt;&lt;/urls&gt;&lt;electronic-resource-num&gt;https://doi.org/10.1016/j.bj.2020.05.001&lt;/electronic-resource-num&gt;&lt;/record&gt;&lt;/Cite&gt;&lt;/EndNote&gt;</w:instrText>
            </w:r>
            <w:r>
              <w:rPr>
                <w:sz w:val="24"/>
              </w:rPr>
              <w:fldChar w:fldCharType="separate"/>
            </w:r>
            <w:r>
              <w:rPr>
                <w:sz w:val="24"/>
                <w:vertAlign w:val="superscript"/>
              </w:rPr>
              <w:t>[</w:t>
            </w:r>
            <w:hyperlink w:anchor="_ENREF_37" w:tooltip="Yi-Yu, 2020 #232" w:history="1">
              <w:r>
                <w:rPr>
                  <w:sz w:val="24"/>
                  <w:vertAlign w:val="superscript"/>
                </w:rPr>
                <w:t>37</w:t>
              </w:r>
            </w:hyperlink>
            <w:r>
              <w:rPr>
                <w:sz w:val="24"/>
                <w:vertAlign w:val="superscript"/>
              </w:rPr>
              <w:t>]</w:t>
            </w:r>
            <w:r>
              <w:rPr>
                <w:sz w:val="24"/>
              </w:rPr>
              <w:fldChar w:fldCharType="end"/>
            </w:r>
            <w:r>
              <w:rPr>
                <w:rFonts w:hint="eastAsia"/>
                <w:sz w:val="24"/>
              </w:rPr>
              <w:t>使用深度神经网络（</w:t>
            </w:r>
            <w:r>
              <w:rPr>
                <w:rFonts w:hint="eastAsia"/>
                <w:sz w:val="24"/>
              </w:rPr>
              <w:t>DNN</w:t>
            </w:r>
            <w:r>
              <w:rPr>
                <w:rFonts w:hint="eastAsia"/>
                <w:sz w:val="24"/>
              </w:rPr>
              <w:t>）从扩展连接性指纹（</w:t>
            </w:r>
            <w:r>
              <w:rPr>
                <w:rFonts w:hint="eastAsia"/>
                <w:sz w:val="24"/>
              </w:rPr>
              <w:t>ECFP</w:t>
            </w:r>
            <w:r>
              <w:rPr>
                <w:rFonts w:hint="eastAsia"/>
                <w:sz w:val="24"/>
              </w:rPr>
              <w:t>）、官能级指纹（</w:t>
            </w:r>
            <w:r>
              <w:rPr>
                <w:rFonts w:hint="eastAsia"/>
                <w:sz w:val="24"/>
              </w:rPr>
              <w:t>FCFP</w:t>
            </w:r>
            <w:r>
              <w:rPr>
                <w:rFonts w:hint="eastAsia"/>
                <w:sz w:val="24"/>
              </w:rPr>
              <w:t>）和辛醇</w:t>
            </w:r>
            <w:r>
              <w:rPr>
                <w:rFonts w:hint="eastAsia"/>
                <w:sz w:val="24"/>
              </w:rPr>
              <w:t>-</w:t>
            </w:r>
            <w:r>
              <w:rPr>
                <w:rFonts w:hint="eastAsia"/>
                <w:sz w:val="24"/>
              </w:rPr>
              <w:t>水分配系数中识别最重要的分子描述符，以分配不同的权重。该模型经学习后可以用于搜索候选药物。最后，人工智能系统确定了</w:t>
            </w:r>
            <w:r>
              <w:rPr>
                <w:rFonts w:hint="eastAsia"/>
                <w:sz w:val="24"/>
              </w:rPr>
              <w:t>80</w:t>
            </w:r>
            <w:r>
              <w:rPr>
                <w:rFonts w:hint="eastAsia"/>
                <w:sz w:val="24"/>
              </w:rPr>
              <w:t>种上市的潜在药物。其中，</w:t>
            </w:r>
            <w:r>
              <w:rPr>
                <w:rFonts w:hint="eastAsia"/>
                <w:sz w:val="24"/>
              </w:rPr>
              <w:t>8</w:t>
            </w:r>
            <w:r>
              <w:rPr>
                <w:rFonts w:hint="eastAsia"/>
                <w:sz w:val="24"/>
              </w:rPr>
              <w:t>种药物具有体外抗</w:t>
            </w:r>
            <w:r>
              <w:rPr>
                <w:rFonts w:hint="eastAsia"/>
                <w:sz w:val="24"/>
              </w:rPr>
              <w:t>FIP</w:t>
            </w:r>
            <w:r>
              <w:rPr>
                <w:rFonts w:hint="eastAsia"/>
                <w:sz w:val="24"/>
              </w:rPr>
              <w:t>活性。</w:t>
            </w:r>
            <w:r>
              <w:rPr>
                <w:rFonts w:hint="eastAsia"/>
                <w:sz w:val="24"/>
              </w:rPr>
              <w:t>Beck</w:t>
            </w:r>
            <w:r>
              <w:rPr>
                <w:rFonts w:hint="eastAsia"/>
                <w:sz w:val="24"/>
              </w:rPr>
              <w:t>等人将</w:t>
            </w:r>
            <w:r>
              <w:rPr>
                <w:rFonts w:hint="eastAsia"/>
                <w:sz w:val="24"/>
              </w:rPr>
              <w:t>SARS-CoV-2</w:t>
            </w:r>
            <w:r>
              <w:rPr>
                <w:rFonts w:hint="eastAsia"/>
                <w:sz w:val="24"/>
              </w:rPr>
              <w:t>的氨基酸序列和药物的</w:t>
            </w:r>
            <w:r>
              <w:rPr>
                <w:rFonts w:hint="eastAsia"/>
                <w:sz w:val="24"/>
              </w:rPr>
              <w:t>S</w:t>
            </w:r>
            <w:r>
              <w:rPr>
                <w:sz w:val="24"/>
              </w:rPr>
              <w:t>M</w:t>
            </w:r>
            <w:r>
              <w:rPr>
                <w:rFonts w:hint="eastAsia"/>
                <w:sz w:val="24"/>
              </w:rPr>
              <w:t>ILES</w:t>
            </w:r>
            <w:r>
              <w:rPr>
                <w:rFonts w:hint="eastAsia"/>
                <w:sz w:val="24"/>
              </w:rPr>
              <w:t>表示视为自然语言，并使用基于深度学习的分子转换器</w:t>
            </w:r>
            <w:r>
              <w:rPr>
                <w:rFonts w:hint="eastAsia"/>
                <w:sz w:val="24"/>
              </w:rPr>
              <w:t>-</w:t>
            </w:r>
            <w:r>
              <w:rPr>
                <w:rFonts w:hint="eastAsia"/>
                <w:sz w:val="24"/>
              </w:rPr>
              <w:t>药物靶点相互作用（</w:t>
            </w:r>
            <w:r>
              <w:rPr>
                <w:rFonts w:hint="eastAsia"/>
                <w:sz w:val="24"/>
              </w:rPr>
              <w:t>MT-DTI</w:t>
            </w:r>
            <w:r>
              <w:rPr>
                <w:rFonts w:hint="eastAsia"/>
                <w:sz w:val="24"/>
              </w:rPr>
              <w:t>）来预测药物</w:t>
            </w:r>
            <w:r>
              <w:rPr>
                <w:rFonts w:hint="eastAsia"/>
                <w:sz w:val="24"/>
              </w:rPr>
              <w:t>-</w:t>
            </w:r>
            <w:r>
              <w:rPr>
                <w:rFonts w:hint="eastAsia"/>
                <w:sz w:val="24"/>
              </w:rPr>
              <w:t>靶点相互作用（靶点是</w:t>
            </w:r>
            <w:r>
              <w:rPr>
                <w:rFonts w:hint="eastAsia"/>
                <w:sz w:val="24"/>
              </w:rPr>
              <w:t>SARS-CoV-2</w:t>
            </w:r>
            <w:r>
              <w:rPr>
                <w:rFonts w:hint="eastAsia"/>
                <w:sz w:val="24"/>
              </w:rPr>
              <w:t>的</w:t>
            </w:r>
            <w:r>
              <w:rPr>
                <w:rFonts w:hint="eastAsia"/>
                <w:sz w:val="24"/>
              </w:rPr>
              <w:t>3C</w:t>
            </w:r>
            <w:r>
              <w:rPr>
                <w:sz w:val="24"/>
              </w:rPr>
              <w:t>L</w:t>
            </w:r>
            <w:r>
              <w:rPr>
                <w:rFonts w:hint="eastAsia"/>
                <w:sz w:val="24"/>
              </w:rPr>
              <w:t>蛋白酶）。阿扎那韦、雷米西韦都被预测可以抑制</w:t>
            </w:r>
            <w:r>
              <w:rPr>
                <w:rFonts w:hint="eastAsia"/>
                <w:sz w:val="24"/>
              </w:rPr>
              <w:t>SARS-CoV-2</w:t>
            </w:r>
            <w:r>
              <w:rPr>
                <w:rFonts w:hint="eastAsia"/>
                <w:sz w:val="24"/>
              </w:rPr>
              <w:t>。</w:t>
            </w:r>
          </w:p>
          <w:p w14:paraId="381DAA5A" w14:textId="77777777" w:rsidR="00E22223" w:rsidRDefault="00000000">
            <w:pPr>
              <w:ind w:rightChars="21" w:right="44" w:firstLineChars="200" w:firstLine="480"/>
              <w:rPr>
                <w:sz w:val="24"/>
              </w:rPr>
            </w:pPr>
            <w:r>
              <w:rPr>
                <w:rFonts w:hint="eastAsia"/>
                <w:sz w:val="24"/>
              </w:rPr>
              <w:t>单独的蛋白质并不是孤立于复杂的系统、相互作用、网络和结合了许多其他蛋白质参与者的复杂的分子结构的路径中运作的。因此，每一种药物</w:t>
            </w:r>
            <w:r>
              <w:rPr>
                <w:rFonts w:hint="eastAsia"/>
                <w:sz w:val="24"/>
              </w:rPr>
              <w:t>-</w:t>
            </w:r>
            <w:r>
              <w:rPr>
                <w:rFonts w:hint="eastAsia"/>
                <w:sz w:val="24"/>
              </w:rPr>
              <w:t>靶点相互作用都需要在其综合背景下进行测试。基于交互的计算技术中，研究人员使用图神经网络进行预测。图中的每个节点由于其邻居和其他节点的影响而不断改变其状态，直到达到最终均衡。距离越近，影响就越大。</w:t>
            </w:r>
            <w:r>
              <w:rPr>
                <w:rFonts w:hint="eastAsia"/>
                <w:sz w:val="24"/>
              </w:rPr>
              <w:t>Ge</w:t>
            </w:r>
            <w:r>
              <w:rPr>
                <w:rFonts w:hint="eastAsia"/>
                <w:sz w:val="24"/>
              </w:rPr>
              <w:t>等人</w:t>
            </w:r>
            <w:r>
              <w:rPr>
                <w:sz w:val="24"/>
              </w:rPr>
              <w:fldChar w:fldCharType="begin"/>
            </w:r>
            <w:r>
              <w:rPr>
                <w:sz w:val="24"/>
              </w:rPr>
              <w:instrText xml:space="preserve"> ADDIN EN.CITE &lt;EndNote&gt;&lt;Cite&gt;&lt;Author&gt;Weininger&lt;/Author&gt;&lt;Year&gt;1988&lt;/Year&gt;&lt;RecNum&gt;233&lt;/RecNum&gt;&lt;DisplayText&gt;&lt;style face="superscript"&gt;[38]&lt;/style&gt;&lt;/DisplayText&gt;&lt;record&gt;&lt;rec-number&gt;233&lt;/rec-number&gt;&lt;foreign-keys&gt;&lt;key app="EN" db-id="pxdpxsaxowe90texfxhpxdacr5xs055f20ze" timestamp="1668709477"&gt;233&lt;/key&gt;&lt;/foreign-keys&gt;&lt;ref-type name="Journal Article"&gt;17&lt;/ref-type&gt;&lt;contributors&gt;&lt;authors&gt;&lt;author&gt;Weininger, David&lt;/author&gt;&lt;/authors&gt;&lt;/contributors&gt;&lt;titles&gt;&lt;title&gt;SMILES, a chemical language and information system. 1. Introduction to methodology and encoding rules&lt;/title&gt;&lt;secondary-title&gt;Journal of Chemical Information and Computer Sciences&lt;/secondary-title&gt;&lt;/titles&gt;&lt;periodical&gt;&lt;full-title&gt;Journal of Chemical Information and Computer Sciences&lt;/full-title&gt;&lt;/periodical&gt;&lt;pages&gt;31-36&lt;/pages&gt;&lt;volume&gt;28&lt;/volume&gt;&lt;number&gt;1&lt;/number&gt;&lt;dates&gt;&lt;year&gt;1988&lt;/year&gt;&lt;pub-dates&gt;&lt;date&gt;1988/02/01&lt;/date&gt;&lt;/pub-dates&gt;&lt;/dates&gt;&lt;publisher&gt;American Chemical Society&lt;/publisher&gt;&lt;isbn&gt;0095-2338&lt;/isbn&gt;&lt;urls&gt;&lt;related-urls&gt;&lt;url&gt;https://pubs.acs.org/doi/abs/10.1021/ci00057a005&lt;/url&gt;&lt;/related-urls&gt;&lt;/urls&gt;&lt;electronic-resource-num&gt;10.1021/ci00057a005&lt;/electronic-resource-num&gt;&lt;/record&gt;&lt;/Cite&gt;&lt;/EndNote&gt;</w:instrText>
            </w:r>
            <w:r>
              <w:rPr>
                <w:sz w:val="24"/>
              </w:rPr>
              <w:fldChar w:fldCharType="separate"/>
            </w:r>
            <w:r>
              <w:rPr>
                <w:sz w:val="24"/>
                <w:vertAlign w:val="superscript"/>
              </w:rPr>
              <w:t>[</w:t>
            </w:r>
            <w:hyperlink w:anchor="_ENREF_38" w:tooltip="Weininger, 1988 #233" w:history="1">
              <w:r>
                <w:rPr>
                  <w:sz w:val="24"/>
                  <w:vertAlign w:val="superscript"/>
                </w:rPr>
                <w:t>38</w:t>
              </w:r>
            </w:hyperlink>
            <w:r>
              <w:rPr>
                <w:sz w:val="24"/>
                <w:vertAlign w:val="superscript"/>
              </w:rPr>
              <w:t>]</w:t>
            </w:r>
            <w:r>
              <w:rPr>
                <w:sz w:val="24"/>
              </w:rPr>
              <w:fldChar w:fldCharType="end"/>
            </w:r>
            <w:r>
              <w:rPr>
                <w:rFonts w:hint="eastAsia"/>
                <w:sz w:val="24"/>
              </w:rPr>
              <w:t>使用基于</w:t>
            </w:r>
            <w:r>
              <w:rPr>
                <w:rFonts w:hint="eastAsia"/>
                <w:sz w:val="24"/>
              </w:rPr>
              <w:t>GCN</w:t>
            </w:r>
            <w:r>
              <w:rPr>
                <w:rFonts w:hint="eastAsia"/>
                <w:sz w:val="24"/>
              </w:rPr>
              <w:t>的</w:t>
            </w:r>
            <w:r>
              <w:rPr>
                <w:rFonts w:hint="eastAsia"/>
                <w:sz w:val="24"/>
              </w:rPr>
              <w:t>CoV-KGE</w:t>
            </w:r>
            <w:r>
              <w:rPr>
                <w:rFonts w:hint="eastAsia"/>
                <w:sz w:val="24"/>
              </w:rPr>
              <w:t>对</w:t>
            </w:r>
            <w:r>
              <w:rPr>
                <w:rFonts w:hint="eastAsia"/>
                <w:sz w:val="24"/>
              </w:rPr>
              <w:t>COVID19</w:t>
            </w:r>
            <w:r>
              <w:rPr>
                <w:rFonts w:hint="eastAsia"/>
                <w:sz w:val="24"/>
              </w:rPr>
              <w:t>进行药物的初步筛选。</w:t>
            </w:r>
            <w:r>
              <w:rPr>
                <w:rFonts w:hint="eastAsia"/>
                <w:sz w:val="24"/>
              </w:rPr>
              <w:t>GCN</w:t>
            </w:r>
            <w:r>
              <w:rPr>
                <w:rFonts w:hint="eastAsia"/>
                <w:sz w:val="24"/>
              </w:rPr>
              <w:t>迭代地更新所有节点的隐藏状态，以基于节点邻域的聚合来产生有用的特征表示。经过计算，他们得出了每个病毒</w:t>
            </w:r>
            <w:r>
              <w:rPr>
                <w:rFonts w:hint="eastAsia"/>
                <w:sz w:val="24"/>
              </w:rPr>
              <w:t>-</w:t>
            </w:r>
            <w:r>
              <w:rPr>
                <w:rFonts w:hint="eastAsia"/>
                <w:sz w:val="24"/>
              </w:rPr>
              <w:t>靶点</w:t>
            </w:r>
            <w:r>
              <w:rPr>
                <w:rFonts w:hint="eastAsia"/>
                <w:sz w:val="24"/>
              </w:rPr>
              <w:t>-</w:t>
            </w:r>
            <w:r>
              <w:rPr>
                <w:rFonts w:hint="eastAsia"/>
                <w:sz w:val="24"/>
              </w:rPr>
              <w:t>药物对的置信度分数，并通过</w:t>
            </w:r>
            <w:r>
              <w:rPr>
                <w:rFonts w:hint="eastAsia"/>
                <w:sz w:val="24"/>
              </w:rPr>
              <w:t>z</w:t>
            </w:r>
            <w:r>
              <w:rPr>
                <w:rFonts w:hint="eastAsia"/>
                <w:sz w:val="24"/>
              </w:rPr>
              <w:t>检验获得了相应的</w:t>
            </w:r>
            <w:r>
              <w:rPr>
                <w:rFonts w:hint="eastAsia"/>
                <w:sz w:val="24"/>
              </w:rPr>
              <w:t>P</w:t>
            </w:r>
            <w:r>
              <w:rPr>
                <w:rFonts w:hint="eastAsia"/>
                <w:sz w:val="24"/>
              </w:rPr>
              <w:t>值。选择</w:t>
            </w:r>
            <w:r>
              <w:rPr>
                <w:rFonts w:hint="eastAsia"/>
                <w:sz w:val="24"/>
              </w:rPr>
              <w:t>P</w:t>
            </w:r>
            <w:r>
              <w:rPr>
                <w:rFonts w:hint="eastAsia"/>
                <w:sz w:val="24"/>
              </w:rPr>
              <w:t>值</w:t>
            </w:r>
            <w:r>
              <w:rPr>
                <w:rFonts w:hint="eastAsia"/>
                <w:sz w:val="24"/>
              </w:rPr>
              <w:t>&lt;0.05</w:t>
            </w:r>
            <w:r>
              <w:rPr>
                <w:rFonts w:hint="eastAsia"/>
                <w:sz w:val="24"/>
              </w:rPr>
              <w:t>的药物作为各病毒蛋白的候选药物。在网络实验室验证之后确定多聚</w:t>
            </w:r>
            <w:r>
              <w:rPr>
                <w:rFonts w:hint="eastAsia"/>
                <w:sz w:val="24"/>
              </w:rPr>
              <w:t>ADP-</w:t>
            </w:r>
            <w:r>
              <w:rPr>
                <w:rFonts w:hint="eastAsia"/>
                <w:sz w:val="24"/>
              </w:rPr>
              <w:t>核糖聚合酶</w:t>
            </w:r>
            <w:r>
              <w:rPr>
                <w:rFonts w:hint="eastAsia"/>
                <w:sz w:val="24"/>
              </w:rPr>
              <w:t>1</w:t>
            </w:r>
            <w:r>
              <w:rPr>
                <w:rFonts w:hint="eastAsia"/>
                <w:sz w:val="24"/>
              </w:rPr>
              <w:t>（</w:t>
            </w:r>
            <w:r>
              <w:rPr>
                <w:rFonts w:hint="eastAsia"/>
                <w:sz w:val="24"/>
              </w:rPr>
              <w:t>PARP1</w:t>
            </w:r>
            <w:r>
              <w:rPr>
                <w:rFonts w:hint="eastAsia"/>
                <w:sz w:val="24"/>
              </w:rPr>
              <w:t>）抑制剂</w:t>
            </w:r>
            <w:r>
              <w:rPr>
                <w:rFonts w:hint="eastAsia"/>
                <w:sz w:val="24"/>
              </w:rPr>
              <w:t>CVL218</w:t>
            </w:r>
            <w:r>
              <w:rPr>
                <w:rFonts w:hint="eastAsia"/>
                <w:sz w:val="24"/>
              </w:rPr>
              <w:t>是一种潜在的有效药物，目前正处于临床试验的第一阶段。虽然这项研究为药物重新定位提供了一个有价值的综合管道，但它仍然存在一个限制，即它只能针对病毒蛋白。</w:t>
            </w:r>
            <w:r>
              <w:rPr>
                <w:sz w:val="24"/>
              </w:rPr>
              <w:t>Collins</w:t>
            </w:r>
            <w:r>
              <w:rPr>
                <w:rFonts w:hint="eastAsia"/>
                <w:sz w:val="24"/>
              </w:rPr>
              <w:t>等人</w:t>
            </w:r>
            <w:r>
              <w:rPr>
                <w:sz w:val="24"/>
              </w:rPr>
              <w:fldChar w:fldCharType="begin"/>
            </w:r>
            <w:r>
              <w:rPr>
                <w:sz w:val="24"/>
              </w:rPr>
              <w:instrText xml:space="preserve"> ADDIN EN.CITE &lt;EndNote&gt;&lt;Cite&gt;&lt;Author&gt;Jin&lt;/Author&gt;&lt;Year&gt;2021&lt;/Year&gt;&lt;RecNum&gt;234&lt;/RecNum&gt;&lt;DisplayText&gt;&lt;style face="superscript"&gt;[39]&lt;/style&gt;&lt;/DisplayText&gt;&lt;record&gt;&lt;rec-number&gt;234&lt;/rec-number&gt;&lt;foreign-keys&gt;&lt;key app="EN" db-id="pxdpxsaxowe90texfxhpxdacr5xs055f20ze" timestamp="1668709828"&gt;234&lt;/key&gt;&lt;/foreign-keys&gt;&lt;ref-type name="Journal Article"&gt;17&lt;/ref-type&gt;&lt;contributors&gt;&lt;authors&gt;&lt;author&gt;Jin, Wengong&lt;/author&gt;&lt;author&gt;Stokes, Jonathan M.&lt;/author&gt;&lt;author&gt;Eastman, Richard T.&lt;/author&gt;&lt;author&gt;Itkin, Zina&lt;/author&gt;&lt;author&gt;Zakharov, Alexey V.&lt;/author&gt;&lt;author&gt;Collins, James J.&lt;/author&gt;&lt;author&gt;Jaakkola, Tommi S.&lt;/author&gt;&lt;author&gt;Barzilay, Regina&lt;/author&gt;&lt;/authors&gt;&lt;/contributors&gt;&lt;titles&gt;&lt;title&gt;Deep learning identifies synergistic drug combinations for treating COVID-19&lt;/title&gt;&lt;secondary-title&gt;Proceedings of the National Academy of Sciences&lt;/secondary-title&gt;&lt;/titles&gt;&lt;periodical&gt;&lt;full-title&gt;Proceedings of the National Academy of Sciences&lt;/full-title&gt;&lt;/periodical&gt;&lt;pages&gt;e2105070118&lt;/pages&gt;&lt;volume&gt;118&lt;/volume&gt;&lt;number&gt;39&lt;/number&gt;&lt;dates&gt;&lt;year&gt;2021&lt;/year&gt;&lt;/dates&gt;&lt;urls&gt;&lt;related-urls&gt;&lt;url&gt;https://www.pnas.org/doi/abs/10.1073/pnas.2105070118&lt;/url&gt;&lt;/related-urls&gt;&lt;/urls&gt;&lt;electronic-resource-num&gt;doi:10.1073/pnas.2105070118&lt;/electronic-resource-num&gt;&lt;/record&gt;&lt;/Cite&gt;&lt;/EndNote&gt;</w:instrText>
            </w:r>
            <w:r>
              <w:rPr>
                <w:sz w:val="24"/>
              </w:rPr>
              <w:fldChar w:fldCharType="separate"/>
            </w:r>
            <w:r>
              <w:rPr>
                <w:sz w:val="24"/>
                <w:vertAlign w:val="superscript"/>
              </w:rPr>
              <w:t>[</w:t>
            </w:r>
            <w:hyperlink w:anchor="_ENREF_39" w:tooltip="Jin, 2021 #234" w:history="1">
              <w:r>
                <w:rPr>
                  <w:sz w:val="24"/>
                  <w:vertAlign w:val="superscript"/>
                </w:rPr>
                <w:t>39</w:t>
              </w:r>
            </w:hyperlink>
            <w:r>
              <w:rPr>
                <w:sz w:val="24"/>
                <w:vertAlign w:val="superscript"/>
              </w:rPr>
              <w:t>]</w:t>
            </w:r>
            <w:r>
              <w:rPr>
                <w:sz w:val="24"/>
              </w:rPr>
              <w:fldChar w:fldCharType="end"/>
            </w:r>
            <w:r>
              <w:rPr>
                <w:rFonts w:hint="eastAsia"/>
                <w:sz w:val="24"/>
              </w:rPr>
              <w:t>提出了一种神经网络架构</w:t>
            </w:r>
            <w:r>
              <w:rPr>
                <w:rFonts w:hint="eastAsia"/>
                <w:sz w:val="24"/>
              </w:rPr>
              <w:t>ComboNet</w:t>
            </w:r>
            <w:r>
              <w:rPr>
                <w:rFonts w:hint="eastAsia"/>
                <w:sz w:val="24"/>
              </w:rPr>
              <w:t>，可以联合学习药物</w:t>
            </w:r>
            <w:r>
              <w:rPr>
                <w:rFonts w:hint="eastAsia"/>
                <w:sz w:val="24"/>
              </w:rPr>
              <w:t>-</w:t>
            </w:r>
            <w:r>
              <w:rPr>
                <w:rFonts w:hint="eastAsia"/>
                <w:sz w:val="24"/>
              </w:rPr>
              <w:t>靶</w:t>
            </w:r>
            <w:r>
              <w:rPr>
                <w:rFonts w:hint="eastAsia"/>
                <w:sz w:val="24"/>
              </w:rPr>
              <w:lastRenderedPageBreak/>
              <w:t>点相互作用和药物</w:t>
            </w:r>
            <w:r>
              <w:rPr>
                <w:rFonts w:hint="eastAsia"/>
                <w:sz w:val="24"/>
              </w:rPr>
              <w:t>-</w:t>
            </w:r>
            <w:r>
              <w:rPr>
                <w:rFonts w:hint="eastAsia"/>
                <w:sz w:val="24"/>
              </w:rPr>
              <w:t>药物协同作用。该模型能够利用药物—靶点相互作用数据和单药抗病毒活性数据，提高协同药物组合预测准确性，并有效解决了药物组合训练数据不足的问题。实验结果表明，该模型发现了两种有效药物组合，它们在体外实验中显示出强大的抗</w:t>
            </w:r>
            <w:r>
              <w:rPr>
                <w:rFonts w:hint="eastAsia"/>
                <w:sz w:val="24"/>
              </w:rPr>
              <w:t xml:space="preserve">SARS-CoV-2 </w:t>
            </w:r>
            <w:r>
              <w:rPr>
                <w:rFonts w:hint="eastAsia"/>
                <w:sz w:val="24"/>
              </w:rPr>
              <w:t>病毒协同作用。其缺陷是仍需要纳入更多生物信息。</w:t>
            </w:r>
          </w:p>
          <w:p w14:paraId="651D1323" w14:textId="77777777" w:rsidR="00E22223" w:rsidRDefault="00000000">
            <w:pPr>
              <w:ind w:rightChars="21" w:right="44"/>
              <w:jc w:val="center"/>
              <w:rPr>
                <w:sz w:val="24"/>
              </w:rPr>
            </w:pPr>
            <w:r>
              <w:rPr>
                <w:rFonts w:hint="eastAsia"/>
                <w:noProof/>
                <w:sz w:val="24"/>
              </w:rPr>
              <w:drawing>
                <wp:inline distT="0" distB="0" distL="0" distR="0" wp14:anchorId="719498A9" wp14:editId="6CB1927D">
                  <wp:extent cx="3154680" cy="238125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7456" cy="2390957"/>
                          </a:xfrm>
                          <a:prstGeom prst="rect">
                            <a:avLst/>
                          </a:prstGeom>
                        </pic:spPr>
                      </pic:pic>
                    </a:graphicData>
                  </a:graphic>
                </wp:inline>
              </w:drawing>
            </w:r>
          </w:p>
          <w:p w14:paraId="27741AC1" w14:textId="77777777" w:rsidR="00E22223" w:rsidRDefault="00000000">
            <w:pPr>
              <w:ind w:rightChars="21" w:right="44"/>
              <w:jc w:val="center"/>
              <w:rPr>
                <w:sz w:val="24"/>
              </w:rPr>
            </w:pPr>
            <w:r>
              <w:rPr>
                <w:rFonts w:hint="eastAsia"/>
                <w:sz w:val="24"/>
              </w:rPr>
              <w:t>图</w:t>
            </w:r>
            <w:r>
              <w:rPr>
                <w:rFonts w:hint="eastAsia"/>
                <w:sz w:val="24"/>
              </w:rPr>
              <w:t>5</w:t>
            </w:r>
            <w:r>
              <w:rPr>
                <w:rFonts w:hint="eastAsia"/>
                <w:sz w:val="24"/>
              </w:rPr>
              <w:t>：</w:t>
            </w:r>
            <w:r>
              <w:rPr>
                <w:rFonts w:hint="eastAsia"/>
                <w:sz w:val="24"/>
              </w:rPr>
              <w:t>ComboNet</w:t>
            </w:r>
            <w:r>
              <w:rPr>
                <w:rFonts w:hint="eastAsia"/>
                <w:sz w:val="24"/>
              </w:rPr>
              <w:t>模型架构</w:t>
            </w:r>
          </w:p>
          <w:p w14:paraId="2C332D50" w14:textId="77777777" w:rsidR="00E22223" w:rsidRDefault="00E22223">
            <w:pPr>
              <w:ind w:rightChars="21" w:right="44"/>
              <w:jc w:val="center"/>
              <w:rPr>
                <w:sz w:val="24"/>
              </w:rPr>
            </w:pPr>
          </w:p>
          <w:p w14:paraId="425E2FAD" w14:textId="77777777" w:rsidR="00E22223" w:rsidRDefault="00000000">
            <w:pPr>
              <w:ind w:rightChars="21" w:right="44" w:firstLineChars="200" w:firstLine="480"/>
              <w:rPr>
                <w:sz w:val="24"/>
              </w:rPr>
            </w:pPr>
            <w:r>
              <w:rPr>
                <w:rFonts w:hint="eastAsia"/>
                <w:sz w:val="24"/>
              </w:rPr>
              <w:t>综上所述，目前基于计算方法来预测潜在的药物</w:t>
            </w:r>
            <w:r>
              <w:rPr>
                <w:sz w:val="24"/>
              </w:rPr>
              <w:t>-</w:t>
            </w:r>
            <w:r>
              <w:rPr>
                <w:rFonts w:hint="eastAsia"/>
                <w:sz w:val="24"/>
              </w:rPr>
              <w:t>靶点相互作用和抗新冠药物预筛选的一些方法还存在不足，因此开发出更加准确且高效的预测方法对于抗新冠病毒药物的研发和药物重定位等方面的研究起到关键的作用。</w:t>
            </w:r>
          </w:p>
          <w:p w14:paraId="3257E2FB" w14:textId="77777777" w:rsidR="00E22223" w:rsidRDefault="00000000">
            <w:pPr>
              <w:ind w:rightChars="21" w:right="44" w:firstLineChars="200" w:firstLine="480"/>
              <w:rPr>
                <w:sz w:val="24"/>
              </w:rPr>
            </w:pPr>
            <w:r>
              <w:rPr>
                <w:sz w:val="24"/>
              </w:rPr>
              <w:t xml:space="preserve"> </w:t>
            </w:r>
          </w:p>
          <w:p w14:paraId="70AB7692" w14:textId="77777777" w:rsidR="00E22223" w:rsidRDefault="00000000">
            <w:pPr>
              <w:ind w:rightChars="21" w:right="44"/>
              <w:rPr>
                <w:sz w:val="24"/>
              </w:rPr>
            </w:pPr>
            <w:r>
              <w:rPr>
                <w:rFonts w:hint="eastAsia"/>
                <w:sz w:val="24"/>
              </w:rPr>
              <w:t>参考文献：</w:t>
            </w:r>
          </w:p>
          <w:p w14:paraId="7CF0B280" w14:textId="77777777" w:rsidR="00E22223" w:rsidRDefault="00000000">
            <w:pPr>
              <w:pStyle w:val="EndNoteBibliography"/>
              <w:ind w:left="720" w:hanging="720"/>
            </w:pPr>
            <w:r>
              <w:rPr>
                <w:rFonts w:ascii="Times New Roman" w:eastAsia="宋体" w:hAnsi="Times New Roman"/>
                <w:sz w:val="24"/>
              </w:rPr>
              <w:fldChar w:fldCharType="begin"/>
            </w:r>
            <w:r>
              <w:rPr>
                <w:rFonts w:ascii="Times New Roman" w:eastAsia="宋体" w:hAnsi="Times New Roman"/>
                <w:sz w:val="24"/>
              </w:rPr>
              <w:instrText xml:space="preserve"> ADDIN EN.REFLIST </w:instrText>
            </w:r>
            <w:r>
              <w:rPr>
                <w:rFonts w:ascii="Times New Roman" w:eastAsia="宋体" w:hAnsi="Times New Roman"/>
                <w:sz w:val="24"/>
              </w:rPr>
              <w:fldChar w:fldCharType="separate"/>
            </w:r>
            <w:bookmarkStart w:id="2" w:name="_ENREF_1"/>
            <w:r>
              <w:t>[1]</w:t>
            </w:r>
            <w:r>
              <w:tab/>
              <w:t>Davies N G, Abbott S, Barnard R C</w:t>
            </w:r>
            <w:r>
              <w:rPr>
                <w:i/>
              </w:rPr>
              <w:t>, et al.</w:t>
            </w:r>
            <w:r>
              <w:t xml:space="preserve"> Estimated transmissibility and impact of SARS-CoV-2 lineage B.1.1.7 in England [J]. Science, 2021, 372 (6538):eabg3055.</w:t>
            </w:r>
            <w:bookmarkEnd w:id="2"/>
          </w:p>
          <w:p w14:paraId="38FCD542" w14:textId="77777777" w:rsidR="00E22223" w:rsidRDefault="00000000">
            <w:pPr>
              <w:pStyle w:val="EndNoteBibliography"/>
              <w:ind w:left="720" w:hanging="720"/>
            </w:pPr>
            <w:bookmarkStart w:id="3" w:name="_ENREF_2"/>
            <w:r>
              <w:t>[2]</w:t>
            </w:r>
            <w:r>
              <w:tab/>
              <w:t>Kokic G, Hillen H S, Tegunov D</w:t>
            </w:r>
            <w:r>
              <w:rPr>
                <w:i/>
              </w:rPr>
              <w:t>, et al.</w:t>
            </w:r>
            <w:r>
              <w:t xml:space="preserve"> Mechanism of SARS-CoV-2 polymerase stalling by remdesivir [J]. Nat Commun, 2021, 12 (1):279.</w:t>
            </w:r>
            <w:bookmarkEnd w:id="3"/>
          </w:p>
          <w:p w14:paraId="568E0916" w14:textId="77777777" w:rsidR="00E22223" w:rsidRDefault="00000000">
            <w:pPr>
              <w:pStyle w:val="EndNoteBibliography"/>
              <w:ind w:left="720" w:hanging="720"/>
            </w:pPr>
            <w:bookmarkStart w:id="4" w:name="_ENREF_3"/>
            <w:r>
              <w:t>[3]</w:t>
            </w:r>
            <w:r>
              <w:tab/>
              <w:t>Yu X, Wei D, Xu W</w:t>
            </w:r>
            <w:r>
              <w:rPr>
                <w:i/>
              </w:rPr>
              <w:t>, et al.</w:t>
            </w:r>
            <w:r>
              <w:t xml:space="preserve"> Reduced sensitivity of SARS-CoV-2 Omicron variant to antibody neutralization elicited by booster vaccination [J]. Cell Discov, 2022, 8 (1):4.</w:t>
            </w:r>
            <w:bookmarkEnd w:id="4"/>
          </w:p>
          <w:p w14:paraId="21FF6F1B" w14:textId="77777777" w:rsidR="00E22223" w:rsidRDefault="00000000">
            <w:pPr>
              <w:pStyle w:val="EndNoteBibliography"/>
              <w:ind w:left="720" w:hanging="720"/>
            </w:pPr>
            <w:bookmarkStart w:id="5" w:name="_ENREF_4"/>
            <w:r>
              <w:t>[4]</w:t>
            </w:r>
            <w:r>
              <w:tab/>
              <w:t>Marlin R, Desjardins D, Contreras V</w:t>
            </w:r>
            <w:r>
              <w:rPr>
                <w:i/>
              </w:rPr>
              <w:t>, et al.</w:t>
            </w:r>
            <w:r>
              <w:t xml:space="preserve"> Antiviral efficacy of favipiravir against Zika and SARS-CoV-2 viruses in non-human primates [J]. Nat Commun, 2022, 13 (1):5108.</w:t>
            </w:r>
            <w:bookmarkEnd w:id="5"/>
          </w:p>
          <w:p w14:paraId="5F5617AD" w14:textId="77777777" w:rsidR="00E22223" w:rsidRDefault="00000000">
            <w:pPr>
              <w:pStyle w:val="EndNoteBibliography"/>
              <w:ind w:left="720" w:hanging="720"/>
            </w:pPr>
            <w:bookmarkStart w:id="6" w:name="_ENREF_5"/>
            <w:r>
              <w:t>[5]</w:t>
            </w:r>
            <w:r>
              <w:tab/>
              <w:t>Lieber C M, Cox R M, Sourimant J</w:t>
            </w:r>
            <w:r>
              <w:rPr>
                <w:i/>
              </w:rPr>
              <w:t>, et al.</w:t>
            </w:r>
            <w:r>
              <w:t xml:space="preserve"> SARS-CoV-2 VOC type and biological sex affect molnupiravir efficacy in severe COVID-19 dwarf hamster model [J]. Nat Commun, 2022, 13 (1):4416.</w:t>
            </w:r>
            <w:bookmarkEnd w:id="6"/>
          </w:p>
          <w:p w14:paraId="04D742E2" w14:textId="77777777" w:rsidR="00E22223" w:rsidRDefault="00000000">
            <w:pPr>
              <w:pStyle w:val="EndNoteBibliography"/>
              <w:ind w:left="720" w:hanging="720"/>
            </w:pPr>
            <w:bookmarkStart w:id="7" w:name="_ENREF_6"/>
            <w:r>
              <w:t>[6]</w:t>
            </w:r>
            <w:r>
              <w:tab/>
              <w:t>DiMasi J A, Hansen R W, Grabowski H G</w:t>
            </w:r>
            <w:r>
              <w:rPr>
                <w:i/>
              </w:rPr>
              <w:t>, et al.</w:t>
            </w:r>
            <w:r>
              <w:t xml:space="preserve"> Cost of innovation in the pharmaceutical industry [J]. Journal of Health Economics, 1991, 10 (2):107-142.</w:t>
            </w:r>
            <w:bookmarkEnd w:id="7"/>
          </w:p>
          <w:p w14:paraId="512D9551" w14:textId="77777777" w:rsidR="00E22223" w:rsidRDefault="00000000">
            <w:pPr>
              <w:pStyle w:val="EndNoteBibliography"/>
              <w:ind w:left="720" w:hanging="720"/>
            </w:pPr>
            <w:bookmarkStart w:id="8" w:name="_ENREF_7"/>
            <w:r>
              <w:t>[7]</w:t>
            </w:r>
            <w:r>
              <w:tab/>
              <w:t>Jourdan J P, Bureau R, Rochais C</w:t>
            </w:r>
            <w:r>
              <w:rPr>
                <w:i/>
              </w:rPr>
              <w:t>, et al.</w:t>
            </w:r>
            <w:r>
              <w:t xml:space="preserve"> Drug repositioning: a brief overview [J]. Journal of Pharmacy and Pharmacology, 2020, 72 (9):1145-1151.</w:t>
            </w:r>
            <w:bookmarkEnd w:id="8"/>
          </w:p>
          <w:p w14:paraId="5CC62DA0" w14:textId="77777777" w:rsidR="00E22223" w:rsidRDefault="00000000">
            <w:pPr>
              <w:pStyle w:val="EndNoteBibliography"/>
              <w:ind w:left="720" w:hanging="720"/>
            </w:pPr>
            <w:bookmarkStart w:id="9" w:name="_ENREF_8"/>
            <w:r>
              <w:t>[8]</w:t>
            </w:r>
            <w:r>
              <w:tab/>
              <w:t>Liu R, Wei L, Zhang P. A deep learning framework for drug repurposing via emulating clinical trials on real-world patient data [J]. Nature Machine Intelligence, 2021, 3 (1):68-75.</w:t>
            </w:r>
            <w:bookmarkEnd w:id="9"/>
          </w:p>
          <w:p w14:paraId="39D12DDD" w14:textId="77777777" w:rsidR="00E22223" w:rsidRDefault="00000000">
            <w:pPr>
              <w:pStyle w:val="EndNoteBibliography"/>
              <w:ind w:left="720" w:hanging="720"/>
            </w:pPr>
            <w:bookmarkStart w:id="10" w:name="_ENREF_9"/>
            <w:r>
              <w:t>[9]</w:t>
            </w:r>
            <w:r>
              <w:tab/>
              <w:t>Nunez S, Venhorst J, Kruse C G. Target-drug interactions: first principles and their application to drug discovery [J]. Drug Discovery Today, 2012, 17 (1-2):10-22.</w:t>
            </w:r>
            <w:bookmarkEnd w:id="10"/>
          </w:p>
          <w:p w14:paraId="28D94FDA" w14:textId="77777777" w:rsidR="00E22223" w:rsidRDefault="00000000">
            <w:pPr>
              <w:pStyle w:val="EndNoteBibliography"/>
              <w:ind w:left="720" w:hanging="720"/>
            </w:pPr>
            <w:bookmarkStart w:id="11" w:name="_ENREF_10"/>
            <w:r>
              <w:t>[10]</w:t>
            </w:r>
            <w:r>
              <w:tab/>
              <w:t>Bagherian M, Sabeti E, Wang K</w:t>
            </w:r>
            <w:r>
              <w:rPr>
                <w:i/>
              </w:rPr>
              <w:t>, et al.</w:t>
            </w:r>
            <w:r>
              <w:t xml:space="preserve"> Machine learning approaches and databases for prediction of drug-target interaction: a survey paper [J]. Briefings in Bioinformatics, 2021, 22 (1):247-269.</w:t>
            </w:r>
            <w:bookmarkEnd w:id="11"/>
          </w:p>
          <w:p w14:paraId="33D92C7F" w14:textId="77777777" w:rsidR="00E22223" w:rsidRDefault="00000000">
            <w:pPr>
              <w:pStyle w:val="EndNoteBibliography"/>
              <w:ind w:left="720" w:hanging="720"/>
            </w:pPr>
            <w:bookmarkStart w:id="12" w:name="_ENREF_11"/>
            <w:r>
              <w:t>[11]</w:t>
            </w:r>
            <w:r>
              <w:tab/>
              <w:t>Zhang L, Tan J, Han D</w:t>
            </w:r>
            <w:r>
              <w:rPr>
                <w:i/>
              </w:rPr>
              <w:t>, et al.</w:t>
            </w:r>
            <w:r>
              <w:t xml:space="preserve"> From machine learning to deep learning: progress in machine intelligence for rational drug discovery [J]. Drug Discovery Today, 2017, 22 (11):1680-1685.</w:t>
            </w:r>
            <w:bookmarkEnd w:id="12"/>
          </w:p>
          <w:p w14:paraId="2D8CD6DC" w14:textId="77777777" w:rsidR="00E22223" w:rsidRDefault="00000000">
            <w:pPr>
              <w:pStyle w:val="EndNoteBibliography"/>
              <w:ind w:left="720" w:hanging="720"/>
            </w:pPr>
            <w:bookmarkStart w:id="13" w:name="_ENREF_12"/>
            <w:r>
              <w:t>[12]</w:t>
            </w:r>
            <w:r>
              <w:tab/>
              <w:t xml:space="preserve">Lee I, Keum J, Nam H. DeepConv-DTI: Prediction of drug-target interactions via deep learning with convolution on protein sequences [J]. Plos Computational Biology, 2019, 15 </w:t>
            </w:r>
            <w:r>
              <w:lastRenderedPageBreak/>
              <w:t>(6):e1007129.</w:t>
            </w:r>
            <w:bookmarkEnd w:id="13"/>
          </w:p>
          <w:p w14:paraId="0F1B7DC8" w14:textId="77777777" w:rsidR="00E22223" w:rsidRDefault="00000000">
            <w:pPr>
              <w:pStyle w:val="EndNoteBibliography"/>
              <w:ind w:left="720" w:hanging="720"/>
            </w:pPr>
            <w:bookmarkStart w:id="14" w:name="_ENREF_13"/>
            <w:r>
              <w:t>[13]</w:t>
            </w:r>
            <w:r>
              <w:tab/>
              <w:t>Ozturk H, Ozgur A, Ozkirimli E. DeepDTA: deep drug-target binding affinity prediction [J]. Bioinformatics, 2018, 34 (17):821-829.</w:t>
            </w:r>
            <w:bookmarkEnd w:id="14"/>
          </w:p>
          <w:p w14:paraId="2CB51C8D" w14:textId="77777777" w:rsidR="00E22223" w:rsidRDefault="00000000">
            <w:pPr>
              <w:pStyle w:val="EndNoteBibliography"/>
              <w:ind w:left="720" w:hanging="720"/>
            </w:pPr>
            <w:bookmarkStart w:id="15" w:name="_ENREF_14"/>
            <w:r>
              <w:t>[14]</w:t>
            </w:r>
            <w:r>
              <w:tab/>
              <w:t>Luo Y, Zhao X, Zhou J</w:t>
            </w:r>
            <w:r>
              <w:rPr>
                <w:i/>
              </w:rPr>
              <w:t>, et al.</w:t>
            </w:r>
            <w:r>
              <w:t xml:space="preserve"> A network integration approach for drug-target interaction prediction and computational drug repositioning from heterogeneous information [J]. Nature Communications, 2017, 8:573.</w:t>
            </w:r>
            <w:bookmarkEnd w:id="15"/>
          </w:p>
          <w:p w14:paraId="3B151E39" w14:textId="77777777" w:rsidR="00E22223" w:rsidRDefault="00000000">
            <w:pPr>
              <w:pStyle w:val="EndNoteBibliography"/>
              <w:ind w:left="720" w:hanging="720"/>
            </w:pPr>
            <w:bookmarkStart w:id="16" w:name="_ENREF_15"/>
            <w:r>
              <w:t>[15]</w:t>
            </w:r>
            <w:r>
              <w:tab/>
              <w:t>Vaswani A, Shazeer N, Parmar N</w:t>
            </w:r>
            <w:r>
              <w:rPr>
                <w:i/>
              </w:rPr>
              <w:t>, et al.</w:t>
            </w:r>
            <w:r>
              <w:t xml:space="preserve"> Attention is all you need [C]. Proceedings of the 31st International Conference on Neural Information Processing Systems. Long Beach, California, USA, 2017.</w:t>
            </w:r>
            <w:bookmarkEnd w:id="16"/>
          </w:p>
          <w:p w14:paraId="343531BF" w14:textId="77777777" w:rsidR="00E22223" w:rsidRDefault="00000000">
            <w:pPr>
              <w:pStyle w:val="EndNoteBibliography"/>
              <w:ind w:left="720" w:hanging="720"/>
            </w:pPr>
            <w:bookmarkStart w:id="17" w:name="_ENREF_16"/>
            <w:r>
              <w:t>[16]</w:t>
            </w:r>
            <w:r>
              <w:tab/>
              <w:t>Zhang Z, Chen L, Zhong F</w:t>
            </w:r>
            <w:r>
              <w:rPr>
                <w:i/>
              </w:rPr>
              <w:t>, et al.</w:t>
            </w:r>
            <w:r>
              <w:t xml:space="preserve"> Graph neural network approaches for drug-target interactions [J]. Curr Opin Struct Biol, 2022, 73:102327.</w:t>
            </w:r>
            <w:bookmarkEnd w:id="17"/>
          </w:p>
          <w:p w14:paraId="77C23956" w14:textId="77777777" w:rsidR="00E22223" w:rsidRDefault="00000000">
            <w:pPr>
              <w:pStyle w:val="EndNoteBibliography"/>
              <w:ind w:left="720" w:hanging="720"/>
            </w:pPr>
            <w:bookmarkStart w:id="18" w:name="_ENREF_17"/>
            <w:r>
              <w:t>[17]</w:t>
            </w:r>
            <w:r>
              <w:tab/>
              <w:t>Abbasi K, Razzaghi P, Poso A</w:t>
            </w:r>
            <w:r>
              <w:rPr>
                <w:i/>
              </w:rPr>
              <w:t>, et al.</w:t>
            </w:r>
            <w:r>
              <w:t xml:space="preserve"> DeepCDA: deep cross-domain compound-protein affinity prediction through LSTM and convolutional neural networks [J]. Bioinformatics, 2020, 36 (17):4633-4642.</w:t>
            </w:r>
            <w:bookmarkEnd w:id="18"/>
          </w:p>
          <w:p w14:paraId="711E86FC" w14:textId="77777777" w:rsidR="00E22223" w:rsidRDefault="00000000">
            <w:pPr>
              <w:pStyle w:val="EndNoteBibliography"/>
              <w:ind w:left="720" w:hanging="720"/>
            </w:pPr>
            <w:bookmarkStart w:id="19" w:name="_ENREF_18"/>
            <w:r>
              <w:t>[18]</w:t>
            </w:r>
            <w:r>
              <w:tab/>
              <w:t>Sun M, Zhao S, Gilvary C</w:t>
            </w:r>
            <w:r>
              <w:rPr>
                <w:i/>
              </w:rPr>
              <w:t>, et al.</w:t>
            </w:r>
            <w:r>
              <w:t xml:space="preserve"> Graph convolutional networks for computational drug development and discovery [J]. Briefings in Bioinformatics, 2020, 21 (3):919-935.</w:t>
            </w:r>
            <w:bookmarkEnd w:id="19"/>
          </w:p>
          <w:p w14:paraId="3B2D5D5F" w14:textId="77777777" w:rsidR="00E22223" w:rsidRDefault="00000000">
            <w:pPr>
              <w:pStyle w:val="EndNoteBibliography"/>
              <w:ind w:left="720" w:hanging="720"/>
            </w:pPr>
            <w:bookmarkStart w:id="20" w:name="_ENREF_19"/>
            <w:r>
              <w:t>[19]</w:t>
            </w:r>
            <w:r>
              <w:tab/>
              <w:t>Chen X, Yan C C, Zhang X</w:t>
            </w:r>
            <w:r>
              <w:rPr>
                <w:i/>
              </w:rPr>
              <w:t>, et al.</w:t>
            </w:r>
            <w:r>
              <w:t xml:space="preserve"> Drug-target interaction prediction: databases, web servers and computational models [J]. Briefings in Bioinformatics, 2016, 17 (4):696-712.</w:t>
            </w:r>
            <w:bookmarkEnd w:id="20"/>
          </w:p>
          <w:p w14:paraId="5663C7AC" w14:textId="77777777" w:rsidR="00E22223" w:rsidRDefault="00000000">
            <w:pPr>
              <w:pStyle w:val="EndNoteBibliography"/>
              <w:ind w:left="720" w:hanging="720"/>
            </w:pPr>
            <w:bookmarkStart w:id="21" w:name="_ENREF_20"/>
            <w:r>
              <w:t>[20]</w:t>
            </w:r>
            <w:r>
              <w:tab/>
              <w:t>Chen R, Liu X, Jin S</w:t>
            </w:r>
            <w:r>
              <w:rPr>
                <w:i/>
              </w:rPr>
              <w:t>, et al.</w:t>
            </w:r>
            <w:r>
              <w:t xml:space="preserve"> Machine Learning for Drug-Target Interaction Prediction [J]. Molecules, 2018, 23 (9):2208.</w:t>
            </w:r>
            <w:bookmarkEnd w:id="21"/>
          </w:p>
          <w:p w14:paraId="4CEFFA3C" w14:textId="77777777" w:rsidR="00E22223" w:rsidRDefault="00000000">
            <w:pPr>
              <w:pStyle w:val="EndNoteBibliography"/>
              <w:ind w:left="720" w:hanging="720"/>
            </w:pPr>
            <w:bookmarkStart w:id="22" w:name="_ENREF_21"/>
            <w:r>
              <w:t>[21]</w:t>
            </w:r>
            <w:r>
              <w:tab/>
              <w:t>Ezzat A, Wu M, Li X-L</w:t>
            </w:r>
            <w:r>
              <w:rPr>
                <w:i/>
              </w:rPr>
              <w:t>, et al.</w:t>
            </w:r>
            <w:r>
              <w:t xml:space="preserve"> Computational prediction of drug-target interactions using chemogenomic approaches: an empirical survey [J]. Briefings in Bioinformatics, 2019, 20 (4):1337-1357.</w:t>
            </w:r>
            <w:bookmarkEnd w:id="22"/>
          </w:p>
          <w:p w14:paraId="2D5FA717" w14:textId="77777777" w:rsidR="00E22223" w:rsidRDefault="00000000">
            <w:pPr>
              <w:pStyle w:val="EndNoteBibliography"/>
              <w:ind w:left="720" w:hanging="720"/>
            </w:pPr>
            <w:bookmarkStart w:id="23" w:name="_ENREF_22"/>
            <w:r>
              <w:t>[22]</w:t>
            </w:r>
            <w:r>
              <w:tab/>
              <w:t>Ding Y, Tang J, Guo F. Identification of Drug-Target Interactions via Dual Laplacian Regularized Least Squares with Multiple Kernel Fusion [J]. Knowl. Based Syst., 2020, 204:106254.</w:t>
            </w:r>
            <w:bookmarkEnd w:id="23"/>
          </w:p>
          <w:p w14:paraId="4999E849" w14:textId="77777777" w:rsidR="00E22223" w:rsidRDefault="00000000">
            <w:pPr>
              <w:pStyle w:val="EndNoteBibliography"/>
              <w:ind w:left="720" w:hanging="720"/>
            </w:pPr>
            <w:bookmarkStart w:id="24" w:name="_ENREF_23"/>
            <w:r>
              <w:t>[23]</w:t>
            </w:r>
            <w:r>
              <w:tab/>
              <w:t>Sachdev K, Gupta M K. A comprehensive review of feature based methods for drug target interaction prediction [J]. Journal of Biomedical Informatics, 2019, 93:103159.</w:t>
            </w:r>
            <w:bookmarkEnd w:id="24"/>
          </w:p>
          <w:p w14:paraId="30710493" w14:textId="77777777" w:rsidR="00E22223" w:rsidRDefault="00000000">
            <w:pPr>
              <w:pStyle w:val="EndNoteBibliography"/>
              <w:ind w:left="720" w:hanging="720"/>
            </w:pPr>
            <w:bookmarkStart w:id="25" w:name="_ENREF_24"/>
            <w:r>
              <w:t>[24]</w:t>
            </w:r>
            <w:r>
              <w:tab/>
              <w:t>Nakashima H, Nishikawa K. Discrimination of intracellular and extracellular proteins using amino acid composition and residue-pair frequencies [J]. Journal of Molecular Biology, 1994, 238 (1):54-61.</w:t>
            </w:r>
            <w:bookmarkEnd w:id="25"/>
          </w:p>
          <w:p w14:paraId="7AC93CE3" w14:textId="77777777" w:rsidR="00E22223" w:rsidRDefault="00000000">
            <w:pPr>
              <w:pStyle w:val="EndNoteBibliography"/>
              <w:ind w:left="720" w:hanging="720"/>
            </w:pPr>
            <w:bookmarkStart w:id="26" w:name="_ENREF_25"/>
            <w:r>
              <w:t>[25]</w:t>
            </w:r>
            <w:r>
              <w:tab/>
              <w:t>Yap C W, Chen Y Z. Prediction of cytochrome p450 3A4, 2D6, and 2C9 inhibitors and substrates by using support vector machines [J]. Journal of Chemical Information and Modeling, 2005, 45 (4):982-992.</w:t>
            </w:r>
            <w:bookmarkEnd w:id="26"/>
          </w:p>
          <w:p w14:paraId="1531C73B" w14:textId="77777777" w:rsidR="00E22223" w:rsidRDefault="00000000">
            <w:pPr>
              <w:pStyle w:val="EndNoteBibliography"/>
              <w:ind w:left="720" w:hanging="720"/>
            </w:pPr>
            <w:bookmarkStart w:id="27" w:name="_ENREF_26"/>
            <w:r>
              <w:t>[26]</w:t>
            </w:r>
            <w:r>
              <w:tab/>
              <w:t>Yamanishi Y, Kotera M, Kanehisa M</w:t>
            </w:r>
            <w:r>
              <w:rPr>
                <w:i/>
              </w:rPr>
              <w:t>, et al.</w:t>
            </w:r>
            <w:r>
              <w:t xml:space="preserve"> Drug-target interaction prediction from chemical, genomic and pharmacological data in an integrated framework [J]. Bioinformatics, 2010, 26 (12):i246-i254.</w:t>
            </w:r>
            <w:bookmarkEnd w:id="27"/>
          </w:p>
          <w:p w14:paraId="31B4D22A" w14:textId="77777777" w:rsidR="00E22223" w:rsidRDefault="00000000">
            <w:pPr>
              <w:pStyle w:val="EndNoteBibliography"/>
              <w:ind w:left="720" w:hanging="720"/>
            </w:pPr>
            <w:bookmarkStart w:id="28" w:name="_ENREF_27"/>
            <w:r>
              <w:t>[27]</w:t>
            </w:r>
            <w:r>
              <w:tab/>
              <w:t>Bleakley K, Yamanishi Y. Supervised prediction of drug-target interactions using bipartite local models [J]. Bioinformatics, 2009, 25 (18):2397-2403.</w:t>
            </w:r>
            <w:bookmarkEnd w:id="28"/>
          </w:p>
          <w:p w14:paraId="00EF63C9" w14:textId="77777777" w:rsidR="00E22223" w:rsidRDefault="00000000">
            <w:pPr>
              <w:pStyle w:val="EndNoteBibliography"/>
              <w:ind w:left="720" w:hanging="720"/>
            </w:pPr>
            <w:bookmarkStart w:id="29" w:name="_ENREF_28"/>
            <w:r>
              <w:t>[28]</w:t>
            </w:r>
            <w:r>
              <w:tab/>
              <w:t>Ding Y, Tang J, Guo F</w:t>
            </w:r>
            <w:r>
              <w:rPr>
                <w:i/>
              </w:rPr>
              <w:t>, et al.</w:t>
            </w:r>
            <w:r>
              <w:t xml:space="preserve"> Identification of drug-target interactions via multiple kernel-based triple collaborative matrix factorization [J]. Briefings in Bioinformatics, 2022, 23 (2):bbab582.</w:t>
            </w:r>
            <w:bookmarkEnd w:id="29"/>
          </w:p>
          <w:p w14:paraId="7AD3D747" w14:textId="77777777" w:rsidR="00E22223" w:rsidRDefault="00000000">
            <w:pPr>
              <w:pStyle w:val="EndNoteBibliography"/>
              <w:ind w:left="720" w:hanging="720"/>
            </w:pPr>
            <w:bookmarkStart w:id="30" w:name="_ENREF_29"/>
            <w:r>
              <w:t>[29]</w:t>
            </w:r>
            <w:r>
              <w:tab/>
              <w:t>Mahmud S M H, Chen W, Liu Y</w:t>
            </w:r>
            <w:r>
              <w:rPr>
                <w:i/>
              </w:rPr>
              <w:t>, et al.</w:t>
            </w:r>
            <w:r>
              <w:t xml:space="preserve"> PreDTIs: prediction of drug-target interactions based on multiple feature information using gradient boosting framework with data balancing and feature selection techniques [J]. Briefings in Bioinformatics, 2021, 22 (5):bbab046.</w:t>
            </w:r>
            <w:bookmarkEnd w:id="30"/>
          </w:p>
          <w:p w14:paraId="2BF6C704" w14:textId="77777777" w:rsidR="00E22223" w:rsidRDefault="00000000">
            <w:pPr>
              <w:pStyle w:val="EndNoteBibliography"/>
              <w:ind w:left="720" w:hanging="720"/>
            </w:pPr>
            <w:bookmarkStart w:id="31" w:name="_ENREF_30"/>
            <w:r>
              <w:t>[30]</w:t>
            </w:r>
            <w:r>
              <w:tab/>
              <w:t>Huang K, Xiao C, Glass L M</w:t>
            </w:r>
            <w:r>
              <w:rPr>
                <w:i/>
              </w:rPr>
              <w:t>, et al.</w:t>
            </w:r>
            <w:r>
              <w:t xml:space="preserve"> MolTrans: Molecular Interaction Transformer for drug–target interaction prediction [J]. Bioinformatics, 2020, 37 (6):830-836.</w:t>
            </w:r>
            <w:bookmarkEnd w:id="31"/>
          </w:p>
          <w:p w14:paraId="353DAC03" w14:textId="77777777" w:rsidR="00E22223" w:rsidRDefault="00000000">
            <w:pPr>
              <w:pStyle w:val="EndNoteBibliography"/>
              <w:ind w:left="720" w:hanging="720"/>
            </w:pPr>
            <w:bookmarkStart w:id="32" w:name="_ENREF_31"/>
            <w:r>
              <w:t>[31]</w:t>
            </w:r>
            <w:r>
              <w:tab/>
              <w:t>Liu S, Wang Y, Deng Y</w:t>
            </w:r>
            <w:r>
              <w:rPr>
                <w:i/>
              </w:rPr>
              <w:t>, et al.</w:t>
            </w:r>
            <w:r>
              <w:t xml:space="preserve"> Improved drug–target interaction prediction with intermolecular graph transformer [J]. Briefings in Bioinformatics, 2022, 23 (5):bbac162.</w:t>
            </w:r>
            <w:bookmarkEnd w:id="32"/>
          </w:p>
          <w:p w14:paraId="19FCB47A" w14:textId="77777777" w:rsidR="00E22223" w:rsidRDefault="00000000">
            <w:pPr>
              <w:pStyle w:val="EndNoteBibliography"/>
              <w:ind w:left="720" w:hanging="720"/>
            </w:pPr>
            <w:bookmarkStart w:id="33" w:name="_ENREF_32"/>
            <w:r>
              <w:t>[32]</w:t>
            </w:r>
            <w:r>
              <w:tab/>
              <w:t>Wang J, Hu J, Sun H</w:t>
            </w:r>
            <w:r>
              <w:rPr>
                <w:i/>
              </w:rPr>
              <w:t>, et al.</w:t>
            </w:r>
            <w:r>
              <w:t xml:space="preserve"> MGPLI: exploring multigranular representations for protein–ligand interaction prediction [J]. Bioinformatics, 2022:btac597.</w:t>
            </w:r>
            <w:bookmarkEnd w:id="33"/>
          </w:p>
          <w:p w14:paraId="0EA46771" w14:textId="77777777" w:rsidR="00E22223" w:rsidRDefault="00000000">
            <w:pPr>
              <w:pStyle w:val="EndNoteBibliography"/>
              <w:ind w:left="720" w:hanging="720"/>
            </w:pPr>
            <w:bookmarkStart w:id="34" w:name="_ENREF_33"/>
            <w:r>
              <w:t>[33]</w:t>
            </w:r>
            <w:r>
              <w:tab/>
              <w:t>Nguyen T, Le H, Quinn T P</w:t>
            </w:r>
            <w:r>
              <w:rPr>
                <w:i/>
              </w:rPr>
              <w:t>, et al.</w:t>
            </w:r>
            <w:r>
              <w:t xml:space="preserve"> GraphDTA: predicting drug–target binding affinity with graph neural networks [J]. Bioinformatics, 2020, 37 (8):1140-1147.</w:t>
            </w:r>
            <w:bookmarkEnd w:id="34"/>
          </w:p>
          <w:p w14:paraId="54211997" w14:textId="77777777" w:rsidR="00E22223" w:rsidRDefault="00000000">
            <w:pPr>
              <w:pStyle w:val="EndNoteBibliography"/>
              <w:ind w:left="720" w:hanging="720"/>
            </w:pPr>
            <w:bookmarkStart w:id="35" w:name="_ENREF_34"/>
            <w:r>
              <w:t>[34]</w:t>
            </w:r>
            <w:r>
              <w:tab/>
              <w:t>Shao K, Zhang Y, Wen Y</w:t>
            </w:r>
            <w:r>
              <w:rPr>
                <w:i/>
              </w:rPr>
              <w:t>, et al.</w:t>
            </w:r>
            <w:r>
              <w:t xml:space="preserve"> DTI-HETA: prediction of drug–target interactions based on GCN and GAT on heterogeneous graph [J]. Briefings in Bioinformatics, 2022, 23 (3):bbac109.</w:t>
            </w:r>
            <w:bookmarkEnd w:id="35"/>
          </w:p>
          <w:p w14:paraId="14DF90E5" w14:textId="77777777" w:rsidR="00E22223" w:rsidRDefault="00000000">
            <w:pPr>
              <w:pStyle w:val="EndNoteBibliography"/>
              <w:ind w:left="720" w:hanging="720"/>
            </w:pPr>
            <w:bookmarkStart w:id="36" w:name="_ENREF_35"/>
            <w:r>
              <w:t>[35]</w:t>
            </w:r>
            <w:r>
              <w:tab/>
              <w:t>Li X-S, Liu X, Lu L</w:t>
            </w:r>
            <w:r>
              <w:rPr>
                <w:i/>
              </w:rPr>
              <w:t>, et al.</w:t>
            </w:r>
            <w:r>
              <w:t xml:space="preserve"> Multiphysical graph neural network (MP-GNN) for COVID-19 drug design [J]. Briefings in Bioinformatics, 2022, 23 (4):bbac231.</w:t>
            </w:r>
            <w:bookmarkEnd w:id="36"/>
          </w:p>
          <w:p w14:paraId="5FC66F44" w14:textId="77777777" w:rsidR="00E22223" w:rsidRDefault="00000000">
            <w:pPr>
              <w:pStyle w:val="EndNoteBibliography"/>
              <w:ind w:left="720" w:hanging="720"/>
            </w:pPr>
            <w:bookmarkStart w:id="37" w:name="_ENREF_36"/>
            <w:r>
              <w:t>[36]</w:t>
            </w:r>
            <w:r>
              <w:tab/>
              <w:t>Cheng Z, Zhao Q, Li Y</w:t>
            </w:r>
            <w:r>
              <w:rPr>
                <w:i/>
              </w:rPr>
              <w:t>, et al.</w:t>
            </w:r>
            <w:r>
              <w:t xml:space="preserve"> IIFDTI: predicting drug–target interactions through interactive and independent features based on attention mechanism [J]. Bioinformatics, 2022, 38 (17):4153-</w:t>
            </w:r>
            <w:r>
              <w:lastRenderedPageBreak/>
              <w:t>4161.</w:t>
            </w:r>
            <w:bookmarkEnd w:id="37"/>
          </w:p>
          <w:p w14:paraId="5AA767E2" w14:textId="77777777" w:rsidR="00E22223" w:rsidRDefault="00000000">
            <w:pPr>
              <w:pStyle w:val="EndNoteBibliography"/>
              <w:ind w:left="720" w:hanging="720"/>
            </w:pPr>
            <w:bookmarkStart w:id="38" w:name="_ENREF_37"/>
            <w:r>
              <w:t>[37]</w:t>
            </w:r>
            <w:r>
              <w:tab/>
              <w:t>Yi-Yu K, Tzu-Ting P, Teng-Kuang Y</w:t>
            </w:r>
            <w:r>
              <w:rPr>
                <w:i/>
              </w:rPr>
              <w:t>, et al.</w:t>
            </w:r>
            <w:r>
              <w:t xml:space="preserve"> Artificial intelligence approach fighting COVID-19 with repurposing drugs [J]. Biomedical Journal, 2020, 43 (4):355-362.</w:t>
            </w:r>
            <w:bookmarkEnd w:id="38"/>
          </w:p>
          <w:p w14:paraId="63491D52" w14:textId="77777777" w:rsidR="00E22223" w:rsidRDefault="00000000">
            <w:pPr>
              <w:pStyle w:val="EndNoteBibliography"/>
              <w:ind w:left="720" w:hanging="720"/>
            </w:pPr>
            <w:bookmarkStart w:id="39" w:name="_ENREF_38"/>
            <w:r>
              <w:t>[38]</w:t>
            </w:r>
            <w:r>
              <w:tab/>
              <w:t>Weininger D. SMILES, a chemical language and information system. 1. Introduction to methodology and encoding rules [J]. Journal of Chemical Information and Computer Sciences, 1988, 28 (1):31-36.</w:t>
            </w:r>
            <w:bookmarkEnd w:id="39"/>
          </w:p>
          <w:p w14:paraId="06F6B2ED" w14:textId="77777777" w:rsidR="00E22223" w:rsidRDefault="00000000">
            <w:pPr>
              <w:pStyle w:val="EndNoteBibliography"/>
              <w:ind w:left="720" w:hanging="720"/>
            </w:pPr>
            <w:bookmarkStart w:id="40" w:name="_ENREF_39"/>
            <w:r>
              <w:t>[39]</w:t>
            </w:r>
            <w:r>
              <w:tab/>
              <w:t>Jin W, Stokes J M, Eastman R T</w:t>
            </w:r>
            <w:r>
              <w:rPr>
                <w:i/>
              </w:rPr>
              <w:t>, et al.</w:t>
            </w:r>
            <w:r>
              <w:t xml:space="preserve"> Deep learning identifies synergistic drug combinations for treating COVID-19 [J]. Proceedings of the National Academy of Sciences, 2021, 118 (39):e2105070118.</w:t>
            </w:r>
            <w:bookmarkEnd w:id="40"/>
          </w:p>
          <w:p w14:paraId="413AE34C" w14:textId="77777777" w:rsidR="00E22223" w:rsidRDefault="00000000">
            <w:pPr>
              <w:pStyle w:val="EndNoteBibliography"/>
              <w:ind w:rightChars="21" w:right="44"/>
              <w:rPr>
                <w:sz w:val="24"/>
              </w:rPr>
            </w:pPr>
            <w:r>
              <w:rPr>
                <w:sz w:val="24"/>
              </w:rPr>
              <w:fldChar w:fldCharType="end"/>
            </w:r>
          </w:p>
          <w:p w14:paraId="0B2EB31A" w14:textId="77777777" w:rsidR="00E22223" w:rsidRDefault="00E22223">
            <w:pPr>
              <w:pStyle w:val="EndNoteBibliography"/>
              <w:ind w:rightChars="21" w:right="44"/>
              <w:rPr>
                <w:sz w:val="24"/>
              </w:rPr>
            </w:pPr>
          </w:p>
          <w:p w14:paraId="1999B3C8" w14:textId="77777777" w:rsidR="00E22223" w:rsidRDefault="00E22223">
            <w:pPr>
              <w:pStyle w:val="EndNoteBibliography"/>
              <w:ind w:rightChars="21" w:right="44"/>
              <w:rPr>
                <w:sz w:val="24"/>
              </w:rPr>
            </w:pPr>
          </w:p>
          <w:p w14:paraId="3892B023" w14:textId="77777777" w:rsidR="00E22223" w:rsidRDefault="00E22223">
            <w:pPr>
              <w:pStyle w:val="EndNoteBibliography"/>
              <w:ind w:rightChars="21" w:right="44"/>
              <w:rPr>
                <w:sz w:val="24"/>
              </w:rPr>
            </w:pPr>
          </w:p>
          <w:p w14:paraId="6E7BF632" w14:textId="77777777" w:rsidR="00E22223" w:rsidRDefault="00E22223">
            <w:pPr>
              <w:pStyle w:val="EndNoteBibliography"/>
              <w:ind w:rightChars="21" w:right="44"/>
              <w:rPr>
                <w:sz w:val="24"/>
              </w:rPr>
            </w:pPr>
          </w:p>
          <w:p w14:paraId="24A0C0F2" w14:textId="77777777" w:rsidR="00E22223" w:rsidRDefault="00E22223">
            <w:pPr>
              <w:pStyle w:val="EndNoteBibliography"/>
              <w:ind w:rightChars="21" w:right="44"/>
              <w:rPr>
                <w:sz w:val="24"/>
              </w:rPr>
            </w:pPr>
          </w:p>
          <w:p w14:paraId="4616C33A" w14:textId="77777777" w:rsidR="00E22223" w:rsidRDefault="00E22223">
            <w:pPr>
              <w:pStyle w:val="EndNoteBibliography"/>
              <w:ind w:rightChars="21" w:right="44"/>
              <w:rPr>
                <w:sz w:val="24"/>
              </w:rPr>
            </w:pPr>
          </w:p>
          <w:p w14:paraId="724C7490" w14:textId="77777777" w:rsidR="00E22223" w:rsidRDefault="00E22223">
            <w:pPr>
              <w:pStyle w:val="EndNoteBibliography"/>
              <w:ind w:rightChars="21" w:right="44"/>
              <w:rPr>
                <w:sz w:val="24"/>
              </w:rPr>
            </w:pPr>
          </w:p>
          <w:p w14:paraId="7A20B91C" w14:textId="77777777" w:rsidR="00E22223" w:rsidRDefault="00E22223">
            <w:pPr>
              <w:pStyle w:val="EndNoteBibliography"/>
              <w:ind w:rightChars="21" w:right="44"/>
              <w:rPr>
                <w:sz w:val="24"/>
              </w:rPr>
            </w:pPr>
          </w:p>
          <w:p w14:paraId="546A70AA" w14:textId="77777777" w:rsidR="00E22223" w:rsidRDefault="00E22223">
            <w:pPr>
              <w:pStyle w:val="EndNoteBibliography"/>
              <w:ind w:rightChars="21" w:right="44"/>
              <w:rPr>
                <w:sz w:val="24"/>
              </w:rPr>
            </w:pPr>
          </w:p>
          <w:p w14:paraId="12710F97" w14:textId="77777777" w:rsidR="00E22223" w:rsidRDefault="00E22223">
            <w:pPr>
              <w:pStyle w:val="EndNoteBibliography"/>
              <w:ind w:rightChars="21" w:right="44"/>
              <w:rPr>
                <w:sz w:val="24"/>
              </w:rPr>
            </w:pPr>
          </w:p>
          <w:p w14:paraId="166FC191" w14:textId="77777777" w:rsidR="00E22223" w:rsidRDefault="00E22223">
            <w:pPr>
              <w:pStyle w:val="EndNoteBibliography"/>
              <w:ind w:rightChars="21" w:right="44"/>
              <w:rPr>
                <w:sz w:val="24"/>
              </w:rPr>
            </w:pPr>
          </w:p>
          <w:p w14:paraId="58618382" w14:textId="77777777" w:rsidR="00E22223" w:rsidRDefault="00E22223">
            <w:pPr>
              <w:pStyle w:val="EndNoteBibliography"/>
              <w:ind w:rightChars="21" w:right="44"/>
              <w:rPr>
                <w:sz w:val="24"/>
              </w:rPr>
            </w:pPr>
          </w:p>
          <w:p w14:paraId="2FFEF608" w14:textId="77777777" w:rsidR="00E22223" w:rsidRDefault="00E22223">
            <w:pPr>
              <w:pStyle w:val="EndNoteBibliography"/>
              <w:ind w:rightChars="21" w:right="44"/>
              <w:rPr>
                <w:sz w:val="24"/>
              </w:rPr>
            </w:pPr>
          </w:p>
          <w:p w14:paraId="633168A5" w14:textId="77777777" w:rsidR="00E22223" w:rsidRDefault="00E22223">
            <w:pPr>
              <w:pStyle w:val="EndNoteBibliography"/>
              <w:ind w:rightChars="21" w:right="44"/>
              <w:rPr>
                <w:sz w:val="24"/>
              </w:rPr>
            </w:pPr>
          </w:p>
          <w:p w14:paraId="798876AD" w14:textId="77777777" w:rsidR="00E22223" w:rsidRDefault="00E22223">
            <w:pPr>
              <w:pStyle w:val="EndNoteBibliography"/>
              <w:ind w:rightChars="21" w:right="44"/>
              <w:rPr>
                <w:sz w:val="24"/>
              </w:rPr>
            </w:pPr>
          </w:p>
          <w:p w14:paraId="033DCAE7" w14:textId="77777777" w:rsidR="00E22223" w:rsidRDefault="00E22223">
            <w:pPr>
              <w:pStyle w:val="EndNoteBibliography"/>
              <w:ind w:rightChars="21" w:right="44"/>
              <w:rPr>
                <w:sz w:val="24"/>
              </w:rPr>
            </w:pPr>
          </w:p>
          <w:p w14:paraId="749DC3BA" w14:textId="77777777" w:rsidR="00E22223" w:rsidRDefault="00E22223">
            <w:pPr>
              <w:pStyle w:val="EndNoteBibliography"/>
              <w:ind w:rightChars="21" w:right="44"/>
              <w:rPr>
                <w:sz w:val="24"/>
              </w:rPr>
            </w:pPr>
          </w:p>
          <w:p w14:paraId="636A9F2C" w14:textId="77777777" w:rsidR="00E22223" w:rsidRDefault="00E22223">
            <w:pPr>
              <w:pStyle w:val="EndNoteBibliography"/>
              <w:ind w:rightChars="21" w:right="44"/>
              <w:rPr>
                <w:sz w:val="24"/>
              </w:rPr>
            </w:pPr>
          </w:p>
          <w:p w14:paraId="0C693B6C" w14:textId="77777777" w:rsidR="00E22223" w:rsidRDefault="00E22223">
            <w:pPr>
              <w:pStyle w:val="EndNoteBibliography"/>
              <w:ind w:rightChars="21" w:right="44"/>
              <w:rPr>
                <w:sz w:val="24"/>
              </w:rPr>
            </w:pPr>
          </w:p>
          <w:p w14:paraId="3C1948F2" w14:textId="77777777" w:rsidR="00E22223" w:rsidRDefault="00E22223">
            <w:pPr>
              <w:pStyle w:val="EndNoteBibliography"/>
              <w:ind w:rightChars="21" w:right="44"/>
              <w:rPr>
                <w:sz w:val="24"/>
              </w:rPr>
            </w:pPr>
          </w:p>
          <w:p w14:paraId="311033EC" w14:textId="77777777" w:rsidR="00E22223" w:rsidRDefault="00E22223">
            <w:pPr>
              <w:pStyle w:val="EndNoteBibliography"/>
              <w:ind w:rightChars="21" w:right="44"/>
              <w:rPr>
                <w:sz w:val="24"/>
              </w:rPr>
            </w:pPr>
          </w:p>
          <w:p w14:paraId="55A4AD90" w14:textId="77777777" w:rsidR="00E22223" w:rsidRDefault="00E22223">
            <w:pPr>
              <w:pStyle w:val="EndNoteBibliography"/>
              <w:ind w:rightChars="21" w:right="44"/>
              <w:rPr>
                <w:sz w:val="24"/>
              </w:rPr>
            </w:pPr>
          </w:p>
          <w:p w14:paraId="29A35C6F" w14:textId="77777777" w:rsidR="00E22223" w:rsidRDefault="00E22223">
            <w:pPr>
              <w:pStyle w:val="EndNoteBibliography"/>
              <w:ind w:rightChars="21" w:right="44"/>
              <w:rPr>
                <w:sz w:val="24"/>
              </w:rPr>
            </w:pPr>
          </w:p>
          <w:p w14:paraId="7B1DD01C" w14:textId="77777777" w:rsidR="00E22223" w:rsidRDefault="00E22223">
            <w:pPr>
              <w:pStyle w:val="EndNoteBibliography"/>
              <w:ind w:rightChars="21" w:right="44"/>
              <w:rPr>
                <w:sz w:val="24"/>
              </w:rPr>
            </w:pPr>
          </w:p>
          <w:p w14:paraId="41C5AE72" w14:textId="77777777" w:rsidR="00E22223" w:rsidRDefault="00E22223">
            <w:pPr>
              <w:pStyle w:val="EndNoteBibliography"/>
              <w:ind w:rightChars="21" w:right="44"/>
              <w:rPr>
                <w:sz w:val="24"/>
              </w:rPr>
            </w:pPr>
          </w:p>
          <w:p w14:paraId="57C21105" w14:textId="77777777" w:rsidR="00E22223" w:rsidRDefault="00E22223">
            <w:pPr>
              <w:pStyle w:val="EndNoteBibliography"/>
              <w:ind w:rightChars="21" w:right="44"/>
              <w:rPr>
                <w:sz w:val="24"/>
              </w:rPr>
            </w:pPr>
          </w:p>
          <w:p w14:paraId="4B13E334" w14:textId="77777777" w:rsidR="00E22223" w:rsidRDefault="00E22223">
            <w:pPr>
              <w:pStyle w:val="EndNoteBibliography"/>
              <w:ind w:rightChars="21" w:right="44"/>
              <w:rPr>
                <w:sz w:val="24"/>
              </w:rPr>
            </w:pPr>
          </w:p>
          <w:p w14:paraId="55001B6E" w14:textId="77777777" w:rsidR="00E22223" w:rsidRDefault="00E22223">
            <w:pPr>
              <w:pStyle w:val="EndNoteBibliography"/>
              <w:ind w:rightChars="21" w:right="44"/>
              <w:rPr>
                <w:sz w:val="24"/>
              </w:rPr>
            </w:pPr>
          </w:p>
          <w:p w14:paraId="00292721" w14:textId="77777777" w:rsidR="00E22223" w:rsidRDefault="00E22223">
            <w:pPr>
              <w:pStyle w:val="EndNoteBibliography"/>
              <w:ind w:rightChars="21" w:right="44"/>
              <w:rPr>
                <w:sz w:val="24"/>
              </w:rPr>
            </w:pPr>
          </w:p>
          <w:p w14:paraId="45CEBA23" w14:textId="77777777" w:rsidR="00E22223" w:rsidRDefault="00E22223">
            <w:pPr>
              <w:pStyle w:val="EndNoteBibliography"/>
              <w:ind w:rightChars="21" w:right="44"/>
              <w:rPr>
                <w:sz w:val="24"/>
              </w:rPr>
            </w:pPr>
          </w:p>
          <w:p w14:paraId="26C79D72" w14:textId="77777777" w:rsidR="00E22223" w:rsidRDefault="00E22223">
            <w:pPr>
              <w:pStyle w:val="EndNoteBibliography"/>
              <w:ind w:rightChars="21" w:right="44"/>
              <w:rPr>
                <w:sz w:val="24"/>
              </w:rPr>
            </w:pPr>
          </w:p>
          <w:p w14:paraId="52EFE046" w14:textId="77777777" w:rsidR="00E22223" w:rsidRDefault="00E22223">
            <w:pPr>
              <w:pStyle w:val="EndNoteBibliography"/>
              <w:ind w:rightChars="21" w:right="44"/>
              <w:rPr>
                <w:sz w:val="24"/>
              </w:rPr>
            </w:pPr>
          </w:p>
          <w:p w14:paraId="577BD0AB" w14:textId="77777777" w:rsidR="00E22223" w:rsidRDefault="00E22223">
            <w:pPr>
              <w:pStyle w:val="EndNoteBibliography"/>
              <w:ind w:rightChars="21" w:right="44"/>
              <w:rPr>
                <w:sz w:val="24"/>
              </w:rPr>
            </w:pPr>
          </w:p>
          <w:p w14:paraId="440117E6" w14:textId="77777777" w:rsidR="00E22223" w:rsidRDefault="00E22223">
            <w:pPr>
              <w:pStyle w:val="EndNoteBibliography"/>
              <w:ind w:rightChars="21" w:right="44"/>
              <w:rPr>
                <w:sz w:val="24"/>
              </w:rPr>
            </w:pPr>
          </w:p>
          <w:p w14:paraId="78FE9BFB" w14:textId="77777777" w:rsidR="00E22223" w:rsidRDefault="00E22223">
            <w:pPr>
              <w:pStyle w:val="EndNoteBibliography"/>
              <w:ind w:rightChars="21" w:right="44"/>
              <w:rPr>
                <w:sz w:val="24"/>
              </w:rPr>
            </w:pPr>
          </w:p>
          <w:p w14:paraId="5AB2ECAF" w14:textId="77777777" w:rsidR="00E22223" w:rsidRDefault="00E22223">
            <w:pPr>
              <w:pStyle w:val="EndNoteBibliography"/>
              <w:ind w:rightChars="21" w:right="44"/>
              <w:rPr>
                <w:sz w:val="24"/>
              </w:rPr>
            </w:pPr>
          </w:p>
          <w:p w14:paraId="1D2EE332" w14:textId="77777777" w:rsidR="00E22223" w:rsidRDefault="00E22223">
            <w:pPr>
              <w:pStyle w:val="EndNoteBibliography"/>
              <w:ind w:rightChars="21" w:right="44"/>
              <w:rPr>
                <w:sz w:val="24"/>
              </w:rPr>
            </w:pPr>
          </w:p>
          <w:p w14:paraId="2ACEC50A" w14:textId="77777777" w:rsidR="00E22223" w:rsidRDefault="00E22223">
            <w:pPr>
              <w:pStyle w:val="EndNoteBibliography"/>
              <w:ind w:rightChars="21" w:right="44"/>
              <w:rPr>
                <w:sz w:val="24"/>
              </w:rPr>
            </w:pPr>
          </w:p>
          <w:p w14:paraId="5969DC3C" w14:textId="77777777" w:rsidR="00E22223" w:rsidRDefault="00E22223">
            <w:pPr>
              <w:pStyle w:val="EndNoteBibliography"/>
              <w:ind w:rightChars="21" w:right="44"/>
              <w:rPr>
                <w:sz w:val="24"/>
              </w:rPr>
            </w:pPr>
          </w:p>
        </w:tc>
      </w:tr>
    </w:tbl>
    <w:p w14:paraId="311D63A7" w14:textId="77777777" w:rsidR="00E22223" w:rsidRDefault="00E22223">
      <w:pPr>
        <w:jc w:val="left"/>
        <w:rPr>
          <w:color w:val="000000" w:themeColor="text1"/>
        </w:rPr>
      </w:pPr>
    </w:p>
    <w:tbl>
      <w:tblPr>
        <w:tblW w:w="8295" w:type="dxa"/>
        <w:tblCellMar>
          <w:left w:w="0" w:type="dxa"/>
          <w:right w:w="0" w:type="dxa"/>
        </w:tblCellMar>
        <w:tblLook w:val="04A0" w:firstRow="1" w:lastRow="0" w:firstColumn="1" w:lastColumn="0" w:noHBand="0" w:noVBand="1"/>
      </w:tblPr>
      <w:tblGrid>
        <w:gridCol w:w="8306"/>
      </w:tblGrid>
      <w:tr w:rsidR="00E22223" w14:paraId="35639260" w14:textId="77777777">
        <w:trPr>
          <w:trHeight w:val="285"/>
        </w:trPr>
        <w:tc>
          <w:tcPr>
            <w:tcW w:w="8295" w:type="dxa"/>
            <w:tcBorders>
              <w:top w:val="nil"/>
              <w:left w:val="nil"/>
              <w:bottom w:val="nil"/>
              <w:right w:val="nil"/>
            </w:tcBorders>
            <w:tcMar>
              <w:top w:w="15" w:type="dxa"/>
              <w:left w:w="15" w:type="dxa"/>
              <w:bottom w:w="0" w:type="dxa"/>
              <w:right w:w="15" w:type="dxa"/>
            </w:tcMar>
            <w:vAlign w:val="center"/>
          </w:tcPr>
          <w:p w14:paraId="4F84D170" w14:textId="77777777" w:rsidR="00E22223" w:rsidRDefault="00000000">
            <w:pPr>
              <w:rPr>
                <w:rFonts w:ascii="仿宋_GB2312" w:eastAsia="仿宋_GB2312" w:hAnsi="宋体"/>
                <w:b/>
                <w:bCs/>
                <w:color w:val="000000" w:themeColor="text1"/>
                <w:sz w:val="28"/>
              </w:rPr>
            </w:pPr>
            <w:r>
              <w:rPr>
                <w:rFonts w:ascii="仿宋_GB2312" w:eastAsia="仿宋_GB2312"/>
                <w:b/>
                <w:bCs/>
                <w:color w:val="000000" w:themeColor="text1"/>
                <w:sz w:val="28"/>
              </w:rPr>
              <w:t>二、研究技术路线及可行性</w:t>
            </w:r>
            <w:r>
              <w:rPr>
                <w:rFonts w:ascii="仿宋_GB2312" w:eastAsia="仿宋_GB2312" w:hint="eastAsia"/>
                <w:b/>
                <w:bCs/>
                <w:color w:val="000000" w:themeColor="text1"/>
                <w:sz w:val="28"/>
              </w:rPr>
              <w:t>分析</w:t>
            </w:r>
          </w:p>
        </w:tc>
      </w:tr>
      <w:tr w:rsidR="00E22223" w14:paraId="18A9CA2D" w14:textId="77777777">
        <w:tc>
          <w:tcPr>
            <w:tcW w:w="8295" w:type="dxa"/>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tcPr>
          <w:p w14:paraId="47F33ACD" w14:textId="77777777" w:rsidR="00E22223" w:rsidRDefault="00000000">
            <w:pPr>
              <w:pStyle w:val="af1"/>
              <w:numPr>
                <w:ilvl w:val="0"/>
                <w:numId w:val="6"/>
              </w:numPr>
              <w:ind w:left="709" w:hanging="704"/>
            </w:pPr>
            <w:r>
              <w:rPr>
                <w:rFonts w:hint="eastAsia"/>
              </w:rPr>
              <w:t>研究技术路线</w:t>
            </w:r>
          </w:p>
          <w:p w14:paraId="5923A0B7" w14:textId="77777777" w:rsidR="00E22223" w:rsidRDefault="00000000">
            <w:pPr>
              <w:ind w:rightChars="21" w:right="44"/>
              <w:rPr>
                <w:b/>
                <w:bCs/>
                <w:sz w:val="24"/>
              </w:rPr>
            </w:pPr>
            <w:r>
              <w:rPr>
                <w:b/>
                <w:bCs/>
                <w:noProof/>
                <w:sz w:val="24"/>
              </w:rPr>
              <w:drawing>
                <wp:inline distT="0" distB="0" distL="0" distR="0" wp14:anchorId="734DB26E" wp14:editId="06C30AE5">
                  <wp:extent cx="5274310" cy="219710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197100"/>
                          </a:xfrm>
                          <a:prstGeom prst="rect">
                            <a:avLst/>
                          </a:prstGeom>
                        </pic:spPr>
                      </pic:pic>
                    </a:graphicData>
                  </a:graphic>
                </wp:inline>
              </w:drawing>
            </w:r>
          </w:p>
          <w:p w14:paraId="46D968F1" w14:textId="77777777" w:rsidR="00E22223" w:rsidRDefault="00000000">
            <w:pPr>
              <w:ind w:rightChars="21" w:right="44"/>
              <w:jc w:val="center"/>
              <w:rPr>
                <w:sz w:val="24"/>
              </w:rPr>
            </w:pPr>
            <w:r>
              <w:rPr>
                <w:rFonts w:hint="eastAsia"/>
                <w:sz w:val="24"/>
              </w:rPr>
              <w:t>图</w:t>
            </w:r>
            <w:r>
              <w:rPr>
                <w:rFonts w:hint="eastAsia"/>
                <w:sz w:val="24"/>
              </w:rPr>
              <w:t>6</w:t>
            </w:r>
            <w:r>
              <w:rPr>
                <w:rFonts w:hint="eastAsia"/>
                <w:sz w:val="24"/>
              </w:rPr>
              <w:t>：研究技术路线</w:t>
            </w:r>
          </w:p>
          <w:p w14:paraId="1D9BC4F0" w14:textId="77777777" w:rsidR="00E22223" w:rsidRDefault="00000000">
            <w:pPr>
              <w:ind w:rightChars="21" w:right="44" w:firstLineChars="200" w:firstLine="480"/>
              <w:rPr>
                <w:sz w:val="24"/>
              </w:rPr>
            </w:pPr>
            <w:r>
              <w:rPr>
                <w:rFonts w:hint="eastAsia"/>
                <w:sz w:val="24"/>
              </w:rPr>
              <w:t>本课题在药物</w:t>
            </w:r>
            <w:r>
              <w:rPr>
                <w:rFonts w:hint="eastAsia"/>
                <w:sz w:val="24"/>
              </w:rPr>
              <w:t>-</w:t>
            </w:r>
            <w:r>
              <w:rPr>
                <w:rFonts w:hint="eastAsia"/>
                <w:sz w:val="24"/>
              </w:rPr>
              <w:t>靶点相互作用的基础上进行拓展，该模型构建了药物、靶点、副作用和疾病之间的异构关系网络，根据药物与药物、靶点、副作用和疾病的相互作用来预测药物靶点。</w:t>
            </w:r>
          </w:p>
          <w:p w14:paraId="7BDEE76D" w14:textId="77777777" w:rsidR="00E22223" w:rsidRDefault="00000000">
            <w:pPr>
              <w:pStyle w:val="ab"/>
              <w:numPr>
                <w:ilvl w:val="0"/>
                <w:numId w:val="7"/>
              </w:numPr>
            </w:pPr>
            <w:r>
              <w:rPr>
                <w:rFonts w:hint="eastAsia"/>
              </w:rPr>
              <w:t>基础数据集</w:t>
            </w:r>
          </w:p>
          <w:p w14:paraId="3161424D" w14:textId="77777777" w:rsidR="00E22223" w:rsidRDefault="00000000">
            <w:pPr>
              <w:pStyle w:val="af"/>
              <w:ind w:rightChars="21" w:right="44" w:firstLineChars="202" w:firstLine="485"/>
              <w:rPr>
                <w:rFonts w:cs="Segoe UI"/>
                <w:color w:val="24292F"/>
                <w:sz w:val="24"/>
                <w:shd w:val="clear" w:color="auto" w:fill="FFFFFF"/>
              </w:rPr>
            </w:pPr>
            <w:r>
              <w:rPr>
                <w:rFonts w:hint="eastAsia"/>
                <w:sz w:val="24"/>
              </w:rPr>
              <w:t>本项目以</w:t>
            </w:r>
            <w:r>
              <w:rPr>
                <w:rFonts w:hint="eastAsia"/>
                <w:sz w:val="24"/>
              </w:rPr>
              <w:t>Binding Database</w:t>
            </w:r>
            <w:r>
              <w:rPr>
                <w:rFonts w:hint="eastAsia"/>
                <w:sz w:val="24"/>
              </w:rPr>
              <w:t>（</w:t>
            </w:r>
            <w:r>
              <w:rPr>
                <w:rFonts w:hint="eastAsia"/>
                <w:sz w:val="24"/>
              </w:rPr>
              <w:t>BindingDB</w:t>
            </w:r>
            <w:r>
              <w:rPr>
                <w:rFonts w:hint="eastAsia"/>
                <w:sz w:val="24"/>
              </w:rPr>
              <w:t>）、</w:t>
            </w:r>
            <w:r>
              <w:rPr>
                <w:rFonts w:hint="eastAsia"/>
                <w:sz w:val="24"/>
              </w:rPr>
              <w:t>D</w:t>
            </w:r>
            <w:r>
              <w:rPr>
                <w:sz w:val="24"/>
              </w:rPr>
              <w:t>AVIS</w:t>
            </w:r>
            <w:r>
              <w:rPr>
                <w:rFonts w:hint="eastAsia"/>
                <w:sz w:val="24"/>
              </w:rPr>
              <w:t>、</w:t>
            </w:r>
            <w:r>
              <w:rPr>
                <w:rFonts w:hint="eastAsia"/>
                <w:sz w:val="24"/>
              </w:rPr>
              <w:t>K</w:t>
            </w:r>
            <w:r>
              <w:rPr>
                <w:sz w:val="24"/>
              </w:rPr>
              <w:t>IBA</w:t>
            </w:r>
            <w:r>
              <w:rPr>
                <w:rFonts w:hint="eastAsia"/>
                <w:sz w:val="24"/>
              </w:rPr>
              <w:t>、</w:t>
            </w:r>
            <w:r>
              <w:rPr>
                <w:sz w:val="24"/>
              </w:rPr>
              <w:t>Universal Protein</w:t>
            </w:r>
            <w:r>
              <w:rPr>
                <w:rFonts w:hint="eastAsia"/>
                <w:sz w:val="24"/>
              </w:rPr>
              <w:t>（</w:t>
            </w:r>
            <w:r>
              <w:rPr>
                <w:rFonts w:hint="eastAsia"/>
                <w:sz w:val="24"/>
              </w:rPr>
              <w:t>UniProt</w:t>
            </w:r>
            <w:r>
              <w:rPr>
                <w:rFonts w:hint="eastAsia"/>
                <w:sz w:val="24"/>
              </w:rPr>
              <w:t>）、</w:t>
            </w:r>
            <w:r>
              <w:rPr>
                <w:rFonts w:hint="eastAsia"/>
                <w:sz w:val="24"/>
              </w:rPr>
              <w:t>Drug</w:t>
            </w:r>
            <w:r>
              <w:rPr>
                <w:sz w:val="24"/>
              </w:rPr>
              <w:t xml:space="preserve"> B</w:t>
            </w:r>
            <w:r>
              <w:rPr>
                <w:rFonts w:hint="eastAsia"/>
                <w:sz w:val="24"/>
              </w:rPr>
              <w:t>ank</w:t>
            </w:r>
            <w:r>
              <w:rPr>
                <w:rFonts w:hint="eastAsia"/>
                <w:sz w:val="24"/>
              </w:rPr>
              <w:t>、</w:t>
            </w:r>
            <w:r>
              <w:rPr>
                <w:rFonts w:hint="eastAsia"/>
                <w:sz w:val="24"/>
              </w:rPr>
              <w:t>S</w:t>
            </w:r>
            <w:r>
              <w:rPr>
                <w:sz w:val="24"/>
              </w:rPr>
              <w:t>IDER</w:t>
            </w:r>
            <w:r>
              <w:rPr>
                <w:rFonts w:hint="eastAsia"/>
                <w:sz w:val="24"/>
              </w:rPr>
              <w:t>、</w:t>
            </w:r>
            <w:r>
              <w:rPr>
                <w:rFonts w:hint="eastAsia"/>
                <w:sz w:val="24"/>
              </w:rPr>
              <w:t>H</w:t>
            </w:r>
            <w:r>
              <w:rPr>
                <w:sz w:val="24"/>
              </w:rPr>
              <w:t>PRD</w:t>
            </w:r>
            <w:r>
              <w:rPr>
                <w:rFonts w:hint="eastAsia"/>
                <w:sz w:val="24"/>
              </w:rPr>
              <w:t>、</w:t>
            </w:r>
            <w:r>
              <w:rPr>
                <w:rFonts w:hint="eastAsia"/>
                <w:sz w:val="24"/>
              </w:rPr>
              <w:t>C</w:t>
            </w:r>
            <w:r>
              <w:rPr>
                <w:sz w:val="24"/>
              </w:rPr>
              <w:t>TD</w:t>
            </w:r>
            <w:r>
              <w:rPr>
                <w:rFonts w:hint="eastAsia"/>
                <w:sz w:val="24"/>
              </w:rPr>
              <w:t>为主的公共药物靶向结合基准数据集为支撑，以多个相互作用及相互关系网络数据集、美国国家生物技术信息中心（</w:t>
            </w:r>
            <w:r>
              <w:rPr>
                <w:rFonts w:hint="eastAsia"/>
                <w:sz w:val="24"/>
              </w:rPr>
              <w:t>N</w:t>
            </w:r>
            <w:r>
              <w:rPr>
                <w:sz w:val="24"/>
              </w:rPr>
              <w:t>CBI</w:t>
            </w:r>
            <w:r>
              <w:rPr>
                <w:rFonts w:hint="eastAsia"/>
                <w:sz w:val="24"/>
              </w:rPr>
              <w:t>）、</w:t>
            </w:r>
            <w:r>
              <w:rPr>
                <w:rFonts w:hint="eastAsia"/>
                <w:sz w:val="24"/>
              </w:rPr>
              <w:t>C</w:t>
            </w:r>
            <w:r>
              <w:rPr>
                <w:sz w:val="24"/>
              </w:rPr>
              <w:t>OVID-19</w:t>
            </w:r>
            <w:r>
              <w:rPr>
                <w:rFonts w:hint="eastAsia"/>
                <w:sz w:val="24"/>
              </w:rPr>
              <w:t>生物测序数据</w:t>
            </w:r>
            <w:r>
              <w:rPr>
                <w:rFonts w:hint="eastAsia"/>
                <w:sz w:val="24"/>
              </w:rPr>
              <w:t>A</w:t>
            </w:r>
            <w:r>
              <w:rPr>
                <w:sz w:val="24"/>
              </w:rPr>
              <w:t>ID1706</w:t>
            </w:r>
            <w:r>
              <w:rPr>
                <w:rFonts w:hint="eastAsia"/>
                <w:sz w:val="24"/>
              </w:rPr>
              <w:t>及靶点</w:t>
            </w:r>
            <w:r>
              <w:rPr>
                <w:rFonts w:cs="Segoe UI"/>
                <w:color w:val="24292F"/>
                <w:sz w:val="24"/>
                <w:shd w:val="clear" w:color="auto" w:fill="FFFFFF"/>
              </w:rPr>
              <w:t>SARS-CoV2 3CL Protease</w:t>
            </w:r>
            <w:r>
              <w:rPr>
                <w:rFonts w:cs="Segoe UI" w:hint="eastAsia"/>
                <w:color w:val="24292F"/>
                <w:sz w:val="24"/>
                <w:shd w:val="clear" w:color="auto" w:fill="FFFFFF"/>
              </w:rPr>
              <w:t>、</w:t>
            </w:r>
            <w:r>
              <w:rPr>
                <w:rFonts w:cs="Segoe UI"/>
                <w:color w:val="24292F"/>
                <w:sz w:val="24"/>
                <w:shd w:val="clear" w:color="auto" w:fill="FFFFFF"/>
              </w:rPr>
              <w:t>SARS_CoV2 RNA Polymerase</w:t>
            </w:r>
            <w:r>
              <w:rPr>
                <w:rFonts w:cs="Segoe UI" w:hint="eastAsia"/>
                <w:color w:val="24292F"/>
                <w:sz w:val="24"/>
                <w:shd w:val="clear" w:color="auto" w:fill="FFFFFF"/>
              </w:rPr>
              <w:t>、</w:t>
            </w:r>
            <w:r>
              <w:rPr>
                <w:rFonts w:cs="Segoe UI"/>
                <w:color w:val="24292F"/>
                <w:sz w:val="24"/>
                <w:shd w:val="clear" w:color="auto" w:fill="FFFFFF"/>
              </w:rPr>
              <w:t>SARS-CoV2 Helicase</w:t>
            </w:r>
            <w:r>
              <w:rPr>
                <w:rFonts w:cs="Segoe UI" w:hint="eastAsia"/>
                <w:color w:val="24292F"/>
                <w:sz w:val="24"/>
                <w:shd w:val="clear" w:color="auto" w:fill="FFFFFF"/>
              </w:rPr>
              <w:t>等信息为主要研究对象，构建基础数据集。</w:t>
            </w:r>
          </w:p>
          <w:p w14:paraId="7B3947A1" w14:textId="77777777" w:rsidR="00E22223" w:rsidRDefault="00000000">
            <w:pPr>
              <w:pStyle w:val="af"/>
              <w:ind w:rightChars="21" w:right="44" w:firstLineChars="202" w:firstLine="485"/>
              <w:rPr>
                <w:sz w:val="24"/>
              </w:rPr>
            </w:pPr>
            <w:r>
              <w:rPr>
                <w:rFonts w:hint="eastAsia"/>
                <w:sz w:val="24"/>
              </w:rPr>
              <w:t>BindingDB</w:t>
            </w:r>
            <w:r>
              <w:rPr>
                <w:rFonts w:hint="eastAsia"/>
                <w:sz w:val="24"/>
              </w:rPr>
              <w:t>是加州大学圣地亚哥分校</w:t>
            </w:r>
            <w:r>
              <w:rPr>
                <w:rFonts w:hint="eastAsia"/>
                <w:sz w:val="24"/>
              </w:rPr>
              <w:t xml:space="preserve"> Michael K.Gilson</w:t>
            </w:r>
            <w:r>
              <w:rPr>
                <w:rFonts w:hint="eastAsia"/>
                <w:sz w:val="24"/>
              </w:rPr>
              <w:t>实验室发布的一个可公开访问的主要收集药物靶点蛋白质和类药小分子之间相互作用亲和力的数据库。目前数据库包含超过</w:t>
            </w:r>
            <w:r>
              <w:rPr>
                <w:rFonts w:hint="eastAsia"/>
                <w:sz w:val="24"/>
              </w:rPr>
              <w:t>920703</w:t>
            </w:r>
            <w:r>
              <w:rPr>
                <w:rFonts w:hint="eastAsia"/>
                <w:sz w:val="24"/>
              </w:rPr>
              <w:t>个药物分子与</w:t>
            </w:r>
            <w:r>
              <w:rPr>
                <w:rFonts w:hint="eastAsia"/>
                <w:sz w:val="24"/>
              </w:rPr>
              <w:t>8185</w:t>
            </w:r>
            <w:r>
              <w:rPr>
                <w:rFonts w:hint="eastAsia"/>
                <w:sz w:val="24"/>
              </w:rPr>
              <w:t>种蛋白质的</w:t>
            </w:r>
            <w:r>
              <w:rPr>
                <w:rFonts w:hint="eastAsia"/>
                <w:sz w:val="24"/>
              </w:rPr>
              <w:t>2096653</w:t>
            </w:r>
            <w:r>
              <w:rPr>
                <w:rFonts w:hint="eastAsia"/>
                <w:sz w:val="24"/>
              </w:rPr>
              <w:t>个相互作用关系数据，以及</w:t>
            </w:r>
            <w:r>
              <w:rPr>
                <w:rFonts w:hint="eastAsia"/>
                <w:sz w:val="24"/>
              </w:rPr>
              <w:t>100%</w:t>
            </w:r>
            <w:r>
              <w:rPr>
                <w:rFonts w:hint="eastAsia"/>
                <w:sz w:val="24"/>
              </w:rPr>
              <w:t>序列匹配的</w:t>
            </w:r>
            <w:r>
              <w:rPr>
                <w:rFonts w:hint="eastAsia"/>
                <w:sz w:val="24"/>
              </w:rPr>
              <w:t>2823</w:t>
            </w:r>
            <w:r>
              <w:rPr>
                <w:rFonts w:hint="eastAsia"/>
                <w:sz w:val="24"/>
              </w:rPr>
              <w:t>种和</w:t>
            </w:r>
            <w:r>
              <w:rPr>
                <w:rFonts w:hint="eastAsia"/>
                <w:sz w:val="24"/>
              </w:rPr>
              <w:t>85%</w:t>
            </w:r>
            <w:r>
              <w:rPr>
                <w:rFonts w:hint="eastAsia"/>
                <w:sz w:val="24"/>
              </w:rPr>
              <w:t>序列匹配的</w:t>
            </w:r>
            <w:r>
              <w:rPr>
                <w:rFonts w:hint="eastAsia"/>
                <w:sz w:val="24"/>
              </w:rPr>
              <w:t>8263</w:t>
            </w:r>
            <w:r>
              <w:rPr>
                <w:rFonts w:hint="eastAsia"/>
                <w:sz w:val="24"/>
              </w:rPr>
              <w:t>受体</w:t>
            </w:r>
            <w:r>
              <w:rPr>
                <w:rFonts w:hint="eastAsia"/>
                <w:sz w:val="24"/>
              </w:rPr>
              <w:t>/</w:t>
            </w:r>
            <w:r>
              <w:rPr>
                <w:rFonts w:hint="eastAsia"/>
                <w:sz w:val="24"/>
              </w:rPr>
              <w:t>配体晶体结构数据，并不断更新中。</w:t>
            </w:r>
          </w:p>
          <w:p w14:paraId="5F7DEC83" w14:textId="77777777" w:rsidR="00E22223" w:rsidRDefault="00000000">
            <w:pPr>
              <w:pStyle w:val="af"/>
              <w:ind w:rightChars="21" w:right="44" w:firstLineChars="202" w:firstLine="485"/>
              <w:rPr>
                <w:sz w:val="24"/>
              </w:rPr>
            </w:pPr>
            <w:r>
              <w:rPr>
                <w:rFonts w:hint="eastAsia"/>
                <w:sz w:val="24"/>
              </w:rPr>
              <w:t>D</w:t>
            </w:r>
            <w:r>
              <w:rPr>
                <w:sz w:val="24"/>
              </w:rPr>
              <w:t>AVIS</w:t>
            </w:r>
            <w:r>
              <w:rPr>
                <w:rFonts w:hint="eastAsia"/>
                <w:sz w:val="24"/>
              </w:rPr>
              <w:t>包含</w:t>
            </w:r>
            <w:r>
              <w:rPr>
                <w:rFonts w:hint="eastAsia"/>
                <w:sz w:val="24"/>
              </w:rPr>
              <w:t xml:space="preserve"> 72 </w:t>
            </w:r>
            <w:r>
              <w:rPr>
                <w:rFonts w:hint="eastAsia"/>
                <w:sz w:val="24"/>
              </w:rPr>
              <w:t>种药物和</w:t>
            </w:r>
            <w:r>
              <w:rPr>
                <w:rFonts w:hint="eastAsia"/>
                <w:sz w:val="24"/>
              </w:rPr>
              <w:t xml:space="preserve"> 442 </w:t>
            </w:r>
            <w:r>
              <w:rPr>
                <w:rFonts w:hint="eastAsia"/>
                <w:sz w:val="24"/>
              </w:rPr>
              <w:t>种蛋白质的</w:t>
            </w:r>
            <w:r>
              <w:rPr>
                <w:rFonts w:hint="eastAsia"/>
                <w:sz w:val="24"/>
              </w:rPr>
              <w:t>30056</w:t>
            </w:r>
            <w:r>
              <w:rPr>
                <w:rFonts w:hint="eastAsia"/>
                <w:sz w:val="24"/>
              </w:rPr>
              <w:t>个相互作用关系数据结合亲和力，以</w:t>
            </w:r>
            <w:r>
              <w:rPr>
                <w:rFonts w:hint="eastAsia"/>
                <w:sz w:val="24"/>
              </w:rPr>
              <w:t xml:space="preserve"> Kd </w:t>
            </w:r>
            <w:r>
              <w:rPr>
                <w:rFonts w:hint="eastAsia"/>
                <w:sz w:val="24"/>
              </w:rPr>
              <w:t>常数测量，范围从</w:t>
            </w:r>
            <w:r>
              <w:rPr>
                <w:rFonts w:hint="eastAsia"/>
                <w:sz w:val="24"/>
              </w:rPr>
              <w:t xml:space="preserve"> 5.0 </w:t>
            </w:r>
            <w:r>
              <w:rPr>
                <w:rFonts w:hint="eastAsia"/>
                <w:sz w:val="24"/>
              </w:rPr>
              <w:t>到</w:t>
            </w:r>
            <w:r>
              <w:rPr>
                <w:rFonts w:hint="eastAsia"/>
                <w:sz w:val="24"/>
              </w:rPr>
              <w:t xml:space="preserve"> 10.8</w:t>
            </w:r>
            <w:r>
              <w:rPr>
                <w:rFonts w:hint="eastAsia"/>
                <w:sz w:val="24"/>
              </w:rPr>
              <w:t>。</w:t>
            </w:r>
          </w:p>
          <w:p w14:paraId="7CE755B2" w14:textId="77777777" w:rsidR="00E22223" w:rsidRDefault="00000000">
            <w:pPr>
              <w:pStyle w:val="af"/>
              <w:ind w:rightChars="21" w:right="44" w:firstLineChars="202" w:firstLine="485"/>
              <w:rPr>
                <w:sz w:val="24"/>
              </w:rPr>
            </w:pPr>
            <w:r>
              <w:rPr>
                <w:rFonts w:hint="eastAsia"/>
                <w:sz w:val="24"/>
              </w:rPr>
              <w:t>K</w:t>
            </w:r>
            <w:r>
              <w:rPr>
                <w:sz w:val="24"/>
              </w:rPr>
              <w:t>IBA</w:t>
            </w:r>
            <w:r>
              <w:rPr>
                <w:rFonts w:hint="eastAsia"/>
                <w:sz w:val="24"/>
              </w:rPr>
              <w:t>包含</w:t>
            </w:r>
            <w:r>
              <w:rPr>
                <w:rFonts w:hint="eastAsia"/>
                <w:sz w:val="24"/>
              </w:rPr>
              <w:t xml:space="preserve"> 2116 </w:t>
            </w:r>
            <w:r>
              <w:rPr>
                <w:rFonts w:hint="eastAsia"/>
                <w:sz w:val="24"/>
              </w:rPr>
              <w:t>种药物和</w:t>
            </w:r>
            <w:r>
              <w:rPr>
                <w:rFonts w:hint="eastAsia"/>
                <w:sz w:val="24"/>
              </w:rPr>
              <w:t xml:space="preserve"> 229 </w:t>
            </w:r>
            <w:r>
              <w:rPr>
                <w:rFonts w:hint="eastAsia"/>
                <w:sz w:val="24"/>
              </w:rPr>
              <w:t>种蛋白质的</w:t>
            </w:r>
            <w:r>
              <w:rPr>
                <w:rFonts w:hint="eastAsia"/>
                <w:sz w:val="24"/>
              </w:rPr>
              <w:t>118254</w:t>
            </w:r>
            <w:r>
              <w:rPr>
                <w:rFonts w:hint="eastAsia"/>
                <w:sz w:val="24"/>
              </w:rPr>
              <w:t>个相互作用关系数据，以</w:t>
            </w:r>
            <w:r>
              <w:rPr>
                <w:rFonts w:hint="eastAsia"/>
                <w:sz w:val="24"/>
              </w:rPr>
              <w:t xml:space="preserve"> KIBA </w:t>
            </w:r>
            <w:r>
              <w:rPr>
                <w:rFonts w:hint="eastAsia"/>
                <w:sz w:val="24"/>
              </w:rPr>
              <w:t>分数衡量，范围从</w:t>
            </w:r>
            <w:r>
              <w:rPr>
                <w:rFonts w:hint="eastAsia"/>
                <w:sz w:val="24"/>
              </w:rPr>
              <w:t>0.0</w:t>
            </w:r>
            <w:r>
              <w:rPr>
                <w:rFonts w:hint="eastAsia"/>
                <w:sz w:val="24"/>
              </w:rPr>
              <w:t>到</w:t>
            </w:r>
            <w:r>
              <w:rPr>
                <w:rFonts w:hint="eastAsia"/>
                <w:sz w:val="24"/>
              </w:rPr>
              <w:t>17.2</w:t>
            </w:r>
            <w:r>
              <w:rPr>
                <w:rFonts w:hint="eastAsia"/>
                <w:sz w:val="24"/>
              </w:rPr>
              <w:t>。</w:t>
            </w:r>
          </w:p>
          <w:p w14:paraId="51CF9462" w14:textId="77777777" w:rsidR="00E22223" w:rsidRDefault="00000000">
            <w:pPr>
              <w:pStyle w:val="af"/>
              <w:ind w:rightChars="21" w:right="44" w:firstLineChars="202" w:firstLine="485"/>
              <w:rPr>
                <w:sz w:val="24"/>
              </w:rPr>
            </w:pPr>
            <w:r>
              <w:rPr>
                <w:rFonts w:hint="eastAsia"/>
                <w:sz w:val="24"/>
              </w:rPr>
              <w:t>UniProt</w:t>
            </w:r>
            <w:r>
              <w:rPr>
                <w:rFonts w:hint="eastAsia"/>
                <w:sz w:val="24"/>
              </w:rPr>
              <w:t>由</w:t>
            </w:r>
            <w:r>
              <w:rPr>
                <w:rFonts w:hint="eastAsia"/>
                <w:sz w:val="24"/>
              </w:rPr>
              <w:t>Swiss-Prot</w:t>
            </w:r>
            <w:r>
              <w:rPr>
                <w:rFonts w:hint="eastAsia"/>
                <w:sz w:val="24"/>
              </w:rPr>
              <w:t>、</w:t>
            </w:r>
            <w:r>
              <w:rPr>
                <w:rFonts w:hint="eastAsia"/>
                <w:sz w:val="24"/>
              </w:rPr>
              <w:t>TrEMBL</w:t>
            </w:r>
            <w:r>
              <w:rPr>
                <w:rFonts w:hint="eastAsia"/>
                <w:sz w:val="24"/>
              </w:rPr>
              <w:t>和</w:t>
            </w:r>
            <w:r>
              <w:rPr>
                <w:rFonts w:hint="eastAsia"/>
                <w:sz w:val="24"/>
              </w:rPr>
              <w:t>PIR-PSD</w:t>
            </w:r>
            <w:r>
              <w:rPr>
                <w:rFonts w:hint="eastAsia"/>
                <w:sz w:val="24"/>
              </w:rPr>
              <w:t>三大子数据库构成的蛋白质数据库，数据主要来自于各物种基因组测序完成后得到的全基因蛋白质序列，并包含了很多来自文献中的蛋白及其功能信息。是资源最广、信息最丰富的蛋白质数据库。</w:t>
            </w:r>
          </w:p>
          <w:p w14:paraId="237C6439" w14:textId="77777777" w:rsidR="00E22223" w:rsidRDefault="00000000">
            <w:pPr>
              <w:pStyle w:val="af"/>
              <w:ind w:rightChars="21" w:right="44" w:firstLineChars="202" w:firstLine="485"/>
              <w:rPr>
                <w:sz w:val="24"/>
              </w:rPr>
            </w:pPr>
            <w:r>
              <w:rPr>
                <w:rFonts w:hint="eastAsia"/>
                <w:sz w:val="24"/>
              </w:rPr>
              <w:t>美国国家生物技术信息中心（</w:t>
            </w:r>
            <w:r>
              <w:rPr>
                <w:rFonts w:hint="eastAsia"/>
                <w:sz w:val="24"/>
              </w:rPr>
              <w:t>N</w:t>
            </w:r>
            <w:r>
              <w:rPr>
                <w:sz w:val="24"/>
              </w:rPr>
              <w:t>CBI</w:t>
            </w:r>
            <w:r>
              <w:rPr>
                <w:rFonts w:hint="eastAsia"/>
                <w:sz w:val="24"/>
              </w:rPr>
              <w:t>）：具备关于分子生物学，生物化学，和遗传学知识的大型数据库，可以提供新冠病毒基因组、蛋白质结构等一系列相关数据。</w:t>
            </w:r>
          </w:p>
          <w:p w14:paraId="761D9268" w14:textId="77777777" w:rsidR="00E22223" w:rsidRDefault="00000000">
            <w:pPr>
              <w:pStyle w:val="dachuang3"/>
            </w:pPr>
            <w:r>
              <w:rPr>
                <w:rFonts w:hint="eastAsia"/>
              </w:rPr>
              <w:lastRenderedPageBreak/>
              <w:t>B</w:t>
            </w:r>
            <w:r>
              <w:t>ERT</w:t>
            </w:r>
            <w:r>
              <w:rPr>
                <w:rFonts w:hint="eastAsia"/>
              </w:rPr>
              <w:t>节点表示</w:t>
            </w:r>
          </w:p>
          <w:p w14:paraId="6786865B" w14:textId="77777777" w:rsidR="00E22223" w:rsidRDefault="00000000">
            <w:pPr>
              <w:pStyle w:val="af"/>
              <w:ind w:rightChars="21" w:right="44" w:firstLineChars="0" w:firstLine="0"/>
              <w:rPr>
                <w:b/>
                <w:bCs/>
                <w:sz w:val="24"/>
              </w:rPr>
            </w:pPr>
            <w:r>
              <w:rPr>
                <w:rStyle w:val="dachuang30"/>
                <w:rFonts w:hint="eastAsia"/>
              </w:rPr>
              <w:t>2</w:t>
            </w:r>
            <w:r>
              <w:rPr>
                <w:rStyle w:val="dachuang30"/>
              </w:rPr>
              <w:t xml:space="preserve">.1 </w:t>
            </w:r>
            <w:r>
              <w:rPr>
                <w:rStyle w:val="dachuang30"/>
                <w:rFonts w:hint="eastAsia"/>
              </w:rPr>
              <w:t>药物信息</w:t>
            </w:r>
          </w:p>
          <w:p w14:paraId="2EDD4486" w14:textId="77777777" w:rsidR="00E22223" w:rsidRDefault="00000000">
            <w:pPr>
              <w:pStyle w:val="af"/>
              <w:ind w:rightChars="21" w:right="44" w:firstLine="482"/>
              <w:rPr>
                <w:sz w:val="24"/>
              </w:rPr>
            </w:pPr>
            <w:r>
              <w:rPr>
                <w:rFonts w:hint="eastAsia"/>
                <w:b/>
                <w:bCs/>
                <w:noProof/>
                <w:sz w:val="24"/>
              </w:rPr>
              <w:drawing>
                <wp:anchor distT="0" distB="0" distL="114300" distR="114300" simplePos="0" relativeHeight="251660288" behindDoc="0" locked="0" layoutInCell="1" allowOverlap="1" wp14:anchorId="03859A15" wp14:editId="3774D585">
                  <wp:simplePos x="0" y="0"/>
                  <wp:positionH relativeFrom="column">
                    <wp:posOffset>2285365</wp:posOffset>
                  </wp:positionH>
                  <wp:positionV relativeFrom="paragraph">
                    <wp:posOffset>1226820</wp:posOffset>
                  </wp:positionV>
                  <wp:extent cx="2988310" cy="1957705"/>
                  <wp:effectExtent l="0" t="0" r="2540" b="444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extLst>
                              <a:ext uri="{28A0092B-C50C-407E-A947-70E740481C1C}">
                                <a14:useLocalDpi xmlns:a14="http://schemas.microsoft.com/office/drawing/2010/main" val="0"/>
                              </a:ext>
                            </a:extLst>
                          </a:blip>
                          <a:srcRect l="3876" t="57881" r="3811"/>
                          <a:stretch>
                            <a:fillRect/>
                          </a:stretch>
                        </pic:blipFill>
                        <pic:spPr>
                          <a:xfrm>
                            <a:off x="0" y="0"/>
                            <a:ext cx="2988310" cy="1957705"/>
                          </a:xfrm>
                          <a:prstGeom prst="rect">
                            <a:avLst/>
                          </a:prstGeom>
                          <a:ln>
                            <a:noFill/>
                          </a:ln>
                        </pic:spPr>
                      </pic:pic>
                    </a:graphicData>
                  </a:graphic>
                </wp:anchor>
              </w:drawing>
            </w:r>
            <w:r>
              <w:rPr>
                <w:rFonts w:hint="eastAsia"/>
                <w:b/>
                <w:bCs/>
                <w:noProof/>
                <w:sz w:val="24"/>
              </w:rPr>
              <w:drawing>
                <wp:anchor distT="0" distB="0" distL="114300" distR="114300" simplePos="0" relativeHeight="251659264" behindDoc="0" locked="0" layoutInCell="1" allowOverlap="1" wp14:anchorId="18302A82" wp14:editId="0ADB72E1">
                  <wp:simplePos x="0" y="0"/>
                  <wp:positionH relativeFrom="column">
                    <wp:posOffset>24765</wp:posOffset>
                  </wp:positionH>
                  <wp:positionV relativeFrom="paragraph">
                    <wp:posOffset>1070610</wp:posOffset>
                  </wp:positionV>
                  <wp:extent cx="2264410" cy="2453640"/>
                  <wp:effectExtent l="0" t="0" r="2540" b="381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extLst>
                              <a:ext uri="{28A0092B-C50C-407E-A947-70E740481C1C}">
                                <a14:useLocalDpi xmlns:a14="http://schemas.microsoft.com/office/drawing/2010/main" val="0"/>
                              </a:ext>
                            </a:extLst>
                          </a:blip>
                          <a:srcRect l="7302" r="20368" b="45387"/>
                          <a:stretch>
                            <a:fillRect/>
                          </a:stretch>
                        </pic:blipFill>
                        <pic:spPr>
                          <a:xfrm>
                            <a:off x="0" y="0"/>
                            <a:ext cx="2264410" cy="2453640"/>
                          </a:xfrm>
                          <a:prstGeom prst="rect">
                            <a:avLst/>
                          </a:prstGeom>
                          <a:ln>
                            <a:noFill/>
                          </a:ln>
                        </pic:spPr>
                      </pic:pic>
                    </a:graphicData>
                  </a:graphic>
                </wp:anchor>
              </w:drawing>
            </w:r>
            <w:r>
              <w:rPr>
                <w:rFonts w:hint="eastAsia"/>
                <w:sz w:val="24"/>
              </w:rPr>
              <w:t>使用简化的分子线性输入系统（</w:t>
            </w:r>
            <w:r>
              <w:rPr>
                <w:rFonts w:hint="eastAsia"/>
                <w:sz w:val="24"/>
              </w:rPr>
              <w:t>S</w:t>
            </w:r>
            <w:r>
              <w:rPr>
                <w:sz w:val="24"/>
              </w:rPr>
              <w:t>MILES</w:t>
            </w:r>
            <w:r>
              <w:rPr>
                <w:rFonts w:hint="eastAsia"/>
                <w:sz w:val="24"/>
              </w:rPr>
              <w:t>）表示，表达成计算机可读的</w:t>
            </w:r>
            <w:r>
              <w:rPr>
                <w:rFonts w:hint="eastAsia"/>
                <w:sz w:val="24"/>
              </w:rPr>
              <w:t>S</w:t>
            </w:r>
            <w:r>
              <w:rPr>
                <w:sz w:val="24"/>
              </w:rPr>
              <w:t>MILES</w:t>
            </w:r>
            <w:r>
              <w:rPr>
                <w:rFonts w:hint="eastAsia"/>
                <w:sz w:val="24"/>
              </w:rPr>
              <w:t>字符串形式，实现快速检索和子结构搜索等应用。可以使用自然语言处理（</w:t>
            </w:r>
            <w:r>
              <w:rPr>
                <w:rFonts w:hint="eastAsia"/>
                <w:sz w:val="24"/>
              </w:rPr>
              <w:t>NLP</w:t>
            </w:r>
            <w:r>
              <w:rPr>
                <w:rFonts w:hint="eastAsia"/>
                <w:sz w:val="24"/>
              </w:rPr>
              <w:t>）技术来表征字符串，或者直接在卷积神经网络（</w:t>
            </w:r>
            <w:r>
              <w:rPr>
                <w:rFonts w:hint="eastAsia"/>
                <w:sz w:val="24"/>
              </w:rPr>
              <w:t>CNN</w:t>
            </w:r>
            <w:r>
              <w:rPr>
                <w:rFonts w:hint="eastAsia"/>
                <w:sz w:val="24"/>
              </w:rPr>
              <w:t>）中使用它们，从</w:t>
            </w:r>
            <w:r>
              <w:rPr>
                <w:rFonts w:hint="eastAsia"/>
                <w:sz w:val="24"/>
              </w:rPr>
              <w:t>SMILES</w:t>
            </w:r>
            <w:r>
              <w:rPr>
                <w:rFonts w:hint="eastAsia"/>
                <w:sz w:val="24"/>
              </w:rPr>
              <w:t>字符串中推断出重原子数或价电子数等药物描述符，可以作为</w:t>
            </w:r>
            <w:r>
              <w:rPr>
                <w:rFonts w:hint="eastAsia"/>
                <w:sz w:val="24"/>
              </w:rPr>
              <w:t>D</w:t>
            </w:r>
            <w:r>
              <w:rPr>
                <w:sz w:val="24"/>
              </w:rPr>
              <w:t>TI</w:t>
            </w:r>
            <w:r>
              <w:rPr>
                <w:rFonts w:hint="eastAsia"/>
                <w:sz w:val="24"/>
              </w:rPr>
              <w:t>的药物特征。</w:t>
            </w:r>
          </w:p>
          <w:p w14:paraId="799A9EFE" w14:textId="77777777" w:rsidR="00E22223" w:rsidRDefault="00000000">
            <w:pPr>
              <w:pStyle w:val="af"/>
              <w:ind w:rightChars="21" w:right="44" w:firstLineChars="202" w:firstLine="485"/>
              <w:jc w:val="center"/>
              <w:rPr>
                <w:sz w:val="24"/>
              </w:rPr>
            </w:pPr>
            <w:r>
              <w:rPr>
                <w:rFonts w:hint="eastAsia"/>
                <w:sz w:val="24"/>
              </w:rPr>
              <w:t>图</w:t>
            </w:r>
            <w:r>
              <w:rPr>
                <w:rFonts w:hint="eastAsia"/>
                <w:sz w:val="24"/>
              </w:rPr>
              <w:t>7</w:t>
            </w:r>
            <w:r>
              <w:rPr>
                <w:rFonts w:hint="eastAsia"/>
                <w:sz w:val="24"/>
              </w:rPr>
              <w:t>：药物</w:t>
            </w:r>
            <w:r>
              <w:rPr>
                <w:rFonts w:cs="Arial"/>
                <w:color w:val="4D4D4D"/>
                <w:sz w:val="24"/>
                <w:shd w:val="clear" w:color="auto" w:fill="FFFFFF"/>
              </w:rPr>
              <w:t>化学结构到</w:t>
            </w:r>
            <w:r>
              <w:rPr>
                <w:rFonts w:cs="Arial"/>
                <w:color w:val="4D4D4D"/>
                <w:sz w:val="24"/>
                <w:shd w:val="clear" w:color="auto" w:fill="FFFFFF"/>
              </w:rPr>
              <w:t>SMILES</w:t>
            </w:r>
            <w:r>
              <w:rPr>
                <w:rFonts w:cs="Arial"/>
                <w:color w:val="4D4D4D"/>
                <w:sz w:val="24"/>
                <w:shd w:val="clear" w:color="auto" w:fill="FFFFFF"/>
              </w:rPr>
              <w:t>字符串</w:t>
            </w:r>
            <w:r>
              <w:rPr>
                <w:rFonts w:cs="Arial" w:hint="eastAsia"/>
                <w:color w:val="4D4D4D"/>
                <w:sz w:val="24"/>
                <w:shd w:val="clear" w:color="auto" w:fill="FFFFFF"/>
              </w:rPr>
              <w:t>示意图</w:t>
            </w:r>
          </w:p>
          <w:p w14:paraId="3BD28011" w14:textId="77777777" w:rsidR="00E22223" w:rsidRDefault="00E22223">
            <w:pPr>
              <w:pStyle w:val="af"/>
              <w:ind w:rightChars="21" w:right="44" w:firstLineChars="202" w:firstLine="485"/>
              <w:rPr>
                <w:sz w:val="24"/>
              </w:rPr>
            </w:pPr>
          </w:p>
          <w:p w14:paraId="1587E784" w14:textId="77777777" w:rsidR="00E22223" w:rsidRDefault="00000000">
            <w:pPr>
              <w:pStyle w:val="af"/>
              <w:ind w:rightChars="21" w:right="44" w:firstLineChars="0" w:firstLine="0"/>
              <w:rPr>
                <w:b/>
                <w:bCs/>
                <w:sz w:val="24"/>
              </w:rPr>
            </w:pPr>
            <w:r>
              <w:rPr>
                <w:rFonts w:hint="eastAsia"/>
                <w:b/>
                <w:bCs/>
                <w:sz w:val="24"/>
              </w:rPr>
              <w:t xml:space="preserve">2.2 </w:t>
            </w:r>
            <w:r>
              <w:rPr>
                <w:rFonts w:hint="eastAsia"/>
                <w:b/>
                <w:bCs/>
                <w:sz w:val="24"/>
              </w:rPr>
              <w:t>靶蛋白信息</w:t>
            </w:r>
          </w:p>
          <w:p w14:paraId="19C9768B" w14:textId="77777777" w:rsidR="00E22223" w:rsidRDefault="00000000">
            <w:pPr>
              <w:pStyle w:val="af"/>
              <w:ind w:rightChars="21" w:right="44" w:firstLine="480"/>
              <w:rPr>
                <w:sz w:val="24"/>
              </w:rPr>
            </w:pPr>
            <w:r>
              <w:rPr>
                <w:rFonts w:hint="eastAsia"/>
                <w:sz w:val="24"/>
              </w:rPr>
              <w:t>使用一串代表氨基酸的</w:t>
            </w:r>
            <w:r>
              <w:rPr>
                <w:rFonts w:hint="eastAsia"/>
                <w:sz w:val="24"/>
              </w:rPr>
              <w:t xml:space="preserve"> ASCII </w:t>
            </w:r>
            <w:r>
              <w:rPr>
                <w:rFonts w:hint="eastAsia"/>
                <w:sz w:val="24"/>
              </w:rPr>
              <w:t>字符表示蛋白质序列信息。每种氨基酸类型都根据其相关的字母符号用一个整数编码从而表示为整数序列。例如：丙氨酸（</w:t>
            </w:r>
            <w:r>
              <w:rPr>
                <w:sz w:val="24"/>
              </w:rPr>
              <w:t>A</w:t>
            </w:r>
            <w:r>
              <w:rPr>
                <w:rFonts w:hint="eastAsia"/>
                <w:sz w:val="24"/>
              </w:rPr>
              <w:t>）为</w:t>
            </w:r>
            <w:r>
              <w:rPr>
                <w:rFonts w:hint="eastAsia"/>
                <w:sz w:val="24"/>
              </w:rPr>
              <w:t xml:space="preserve"> 1</w:t>
            </w:r>
            <w:r>
              <w:rPr>
                <w:rFonts w:hint="eastAsia"/>
                <w:sz w:val="24"/>
              </w:rPr>
              <w:t>，胱氨酸（</w:t>
            </w:r>
            <w:r>
              <w:rPr>
                <w:rFonts w:hint="eastAsia"/>
                <w:sz w:val="24"/>
              </w:rPr>
              <w:t>C</w:t>
            </w:r>
            <w:r>
              <w:rPr>
                <w:rFonts w:hint="eastAsia"/>
                <w:sz w:val="24"/>
              </w:rPr>
              <w:t>）为</w:t>
            </w:r>
            <w:r>
              <w:rPr>
                <w:rFonts w:hint="eastAsia"/>
                <w:sz w:val="24"/>
              </w:rPr>
              <w:t xml:space="preserve"> 3</w:t>
            </w:r>
            <w:r>
              <w:rPr>
                <w:rFonts w:hint="eastAsia"/>
                <w:sz w:val="24"/>
              </w:rPr>
              <w:t>，天冬氨酸（</w:t>
            </w:r>
            <w:r>
              <w:rPr>
                <w:sz w:val="24"/>
              </w:rPr>
              <w:t>D</w:t>
            </w:r>
            <w:r>
              <w:rPr>
                <w:rFonts w:hint="eastAsia"/>
                <w:sz w:val="24"/>
              </w:rPr>
              <w:t>）为</w:t>
            </w:r>
            <w:r>
              <w:rPr>
                <w:rFonts w:hint="eastAsia"/>
                <w:sz w:val="24"/>
              </w:rPr>
              <w:t xml:space="preserve"> 4</w:t>
            </w:r>
            <w:r>
              <w:rPr>
                <w:rFonts w:hint="eastAsia"/>
                <w:sz w:val="24"/>
              </w:rPr>
              <w:t>。所有蛋白质序列剪切或填充为</w:t>
            </w:r>
            <w:r>
              <w:rPr>
                <w:rFonts w:hint="eastAsia"/>
                <w:sz w:val="24"/>
              </w:rPr>
              <w:t xml:space="preserve"> </w:t>
            </w:r>
            <w:r>
              <w:rPr>
                <w:rFonts w:hint="eastAsia"/>
                <w:sz w:val="24"/>
              </w:rPr>
              <w:t>固定残基长度序列。如果序列较短，则用零值填充。</w:t>
            </w:r>
          </w:p>
          <w:p w14:paraId="60D55FD3" w14:textId="77777777" w:rsidR="00E22223" w:rsidRDefault="00E22223">
            <w:pPr>
              <w:pStyle w:val="af"/>
              <w:ind w:rightChars="21" w:right="44" w:firstLineChars="202" w:firstLine="485"/>
              <w:rPr>
                <w:sz w:val="24"/>
              </w:rPr>
            </w:pPr>
          </w:p>
          <w:p w14:paraId="74CA1DBB" w14:textId="77777777" w:rsidR="00E22223" w:rsidRDefault="00000000">
            <w:pPr>
              <w:pStyle w:val="af"/>
              <w:ind w:rightChars="21" w:right="44" w:firstLineChars="0" w:firstLine="0"/>
              <w:rPr>
                <w:b/>
                <w:bCs/>
                <w:sz w:val="24"/>
              </w:rPr>
            </w:pPr>
            <w:r>
              <w:rPr>
                <w:rFonts w:hint="eastAsia"/>
                <w:b/>
                <w:bCs/>
                <w:sz w:val="24"/>
              </w:rPr>
              <w:t>2.3</w:t>
            </w:r>
            <w:r>
              <w:rPr>
                <w:b/>
                <w:bCs/>
                <w:sz w:val="24"/>
              </w:rPr>
              <w:t xml:space="preserve"> T</w:t>
            </w:r>
            <w:r>
              <w:rPr>
                <w:rFonts w:hint="eastAsia"/>
                <w:b/>
                <w:bCs/>
                <w:sz w:val="24"/>
              </w:rPr>
              <w:t>ransformer</w:t>
            </w:r>
            <w:r>
              <w:rPr>
                <w:rFonts w:hint="eastAsia"/>
                <w:b/>
                <w:bCs/>
                <w:sz w:val="24"/>
              </w:rPr>
              <w:t>编码器</w:t>
            </w:r>
          </w:p>
          <w:p w14:paraId="08E38759" w14:textId="77777777" w:rsidR="00E22223" w:rsidRDefault="00000000">
            <w:pPr>
              <w:pStyle w:val="af"/>
              <w:ind w:rightChars="21" w:right="44" w:firstLine="480"/>
              <w:rPr>
                <w:sz w:val="24"/>
              </w:rPr>
            </w:pPr>
            <w:r>
              <w:rPr>
                <w:rFonts w:hint="eastAsia"/>
                <w:sz w:val="24"/>
              </w:rPr>
              <w:t>编码器是通信领域的一个名词，是指将信号进行编制转换成容易传输的形式。在自然语言处理领域中是指将句子编码成一个能够映射出句子内容的固定长度的向量。因此，编码器可以视为一个特征提取器，主要作用是对输入序列进行特征提取。在</w:t>
            </w:r>
            <w:r>
              <w:rPr>
                <w:rFonts w:hint="eastAsia"/>
                <w:sz w:val="24"/>
              </w:rPr>
              <w:t>D</w:t>
            </w:r>
            <w:r>
              <w:rPr>
                <w:sz w:val="24"/>
              </w:rPr>
              <w:t>TI</w:t>
            </w:r>
            <w:r>
              <w:rPr>
                <w:rFonts w:hint="eastAsia"/>
                <w:sz w:val="24"/>
              </w:rPr>
              <w:t>预测中，编码器主要是对分子信息进行特征提取。</w:t>
            </w:r>
          </w:p>
          <w:p w14:paraId="1BCC10EA" w14:textId="77777777" w:rsidR="00E22223" w:rsidRDefault="00000000">
            <w:pPr>
              <w:pStyle w:val="af"/>
              <w:ind w:rightChars="21" w:right="44" w:firstLineChars="202" w:firstLine="485"/>
              <w:rPr>
                <w:sz w:val="24"/>
              </w:rPr>
            </w:pPr>
            <w:r>
              <w:rPr>
                <w:rFonts w:hint="eastAsia"/>
                <w:sz w:val="24"/>
              </w:rPr>
              <w:t>在对分子信息进行编码时，本项目采用</w:t>
            </w:r>
            <w:r>
              <w:rPr>
                <w:rFonts w:hint="eastAsia"/>
                <w:sz w:val="24"/>
              </w:rPr>
              <w:t>B</w:t>
            </w:r>
            <w:r>
              <w:rPr>
                <w:sz w:val="24"/>
              </w:rPr>
              <w:t>ERT</w:t>
            </w:r>
            <w:r>
              <w:rPr>
                <w:rFonts w:hint="eastAsia"/>
                <w:sz w:val="24"/>
              </w:rPr>
              <w:t>模型中的</w:t>
            </w:r>
            <w:r>
              <w:rPr>
                <w:rFonts w:hint="eastAsia"/>
                <w:sz w:val="24"/>
              </w:rPr>
              <w:t>Transformer</w:t>
            </w:r>
            <w:r>
              <w:rPr>
                <w:rFonts w:hint="eastAsia"/>
                <w:sz w:val="24"/>
              </w:rPr>
              <w:t>编码器。</w:t>
            </w:r>
            <w:r>
              <w:rPr>
                <w:sz w:val="24"/>
              </w:rPr>
              <w:t>Transformer</w:t>
            </w:r>
            <w:r>
              <w:rPr>
                <w:rFonts w:hint="eastAsia"/>
                <w:sz w:val="24"/>
              </w:rPr>
              <w:t>是基于自注意力机制构建的模型，其核心模块为自注意力（</w:t>
            </w:r>
            <w:r>
              <w:rPr>
                <w:rFonts w:hint="eastAsia"/>
                <w:sz w:val="24"/>
              </w:rPr>
              <w:t>Attn</w:t>
            </w:r>
            <w:r>
              <w:rPr>
                <w:rFonts w:hint="eastAsia"/>
                <w:sz w:val="24"/>
              </w:rPr>
              <w:t>），同时还包括位置表达、层归一化（</w:t>
            </w:r>
            <w:r>
              <w:rPr>
                <w:rFonts w:hint="eastAsia"/>
                <w:sz w:val="24"/>
              </w:rPr>
              <w:t>L</w:t>
            </w:r>
            <w:r>
              <w:rPr>
                <w:sz w:val="24"/>
              </w:rPr>
              <w:t>N</w:t>
            </w:r>
            <w:r>
              <w:rPr>
                <w:rFonts w:hint="eastAsia"/>
                <w:sz w:val="24"/>
              </w:rPr>
              <w:t>）、残差连接、前馈神经网络（</w:t>
            </w:r>
            <w:r>
              <w:rPr>
                <w:rFonts w:hint="eastAsia"/>
                <w:sz w:val="24"/>
              </w:rPr>
              <w:t>F</w:t>
            </w:r>
            <w:r>
              <w:rPr>
                <w:sz w:val="24"/>
              </w:rPr>
              <w:t>FN</w:t>
            </w:r>
            <w:r>
              <w:rPr>
                <w:rFonts w:hint="eastAsia"/>
                <w:sz w:val="24"/>
              </w:rPr>
              <w:t>）。</w:t>
            </w:r>
            <w:r>
              <w:rPr>
                <w:sz w:val="24"/>
              </w:rPr>
              <w:t>Transformer</w:t>
            </w:r>
            <w:r>
              <w:rPr>
                <w:rFonts w:hint="eastAsia"/>
                <w:sz w:val="24"/>
              </w:rPr>
              <w:t>编码器（</w:t>
            </w:r>
            <w:r>
              <w:rPr>
                <w:rFonts w:hint="eastAsia"/>
                <w:sz w:val="24"/>
              </w:rPr>
              <w:t>Encoder</w:t>
            </w:r>
            <w:r>
              <w:rPr>
                <w:rFonts w:hint="eastAsia"/>
                <w:sz w:val="24"/>
              </w:rPr>
              <w:t>）共有</w:t>
            </w:r>
            <w:r>
              <w:rPr>
                <w:rFonts w:hint="eastAsia"/>
                <w:sz w:val="24"/>
              </w:rPr>
              <w:t>6</w:t>
            </w:r>
            <w:r>
              <w:rPr>
                <w:rFonts w:hint="eastAsia"/>
                <w:sz w:val="24"/>
              </w:rPr>
              <w:t>个相同的编码器层（</w:t>
            </w:r>
            <w:r>
              <w:rPr>
                <w:rFonts w:hint="eastAsia"/>
                <w:sz w:val="24"/>
              </w:rPr>
              <w:t>layer</w:t>
            </w:r>
            <w:r>
              <w:rPr>
                <w:rFonts w:hint="eastAsia"/>
                <w:sz w:val="24"/>
              </w:rPr>
              <w:t>），每个</w:t>
            </w:r>
            <w:r>
              <w:rPr>
                <w:rFonts w:hint="eastAsia"/>
                <w:sz w:val="24"/>
              </w:rPr>
              <w:t>layer</w:t>
            </w:r>
            <w:r>
              <w:rPr>
                <w:rFonts w:hint="eastAsia"/>
                <w:sz w:val="24"/>
              </w:rPr>
              <w:t>有两个子层，为多头注意力层（</w:t>
            </w:r>
            <w:r>
              <w:rPr>
                <w:rFonts w:hint="eastAsia"/>
                <w:sz w:val="24"/>
              </w:rPr>
              <w:t>M</w:t>
            </w:r>
            <w:r>
              <w:rPr>
                <w:sz w:val="24"/>
              </w:rPr>
              <w:t>ulti-Head Attention</w:t>
            </w:r>
            <w:r>
              <w:rPr>
                <w:rFonts w:hint="eastAsia"/>
                <w:sz w:val="24"/>
              </w:rPr>
              <w:t>）和前馈神经网络层（</w:t>
            </w:r>
            <w:r>
              <w:rPr>
                <w:rFonts w:hint="eastAsia"/>
                <w:sz w:val="24"/>
              </w:rPr>
              <w:t>F</w:t>
            </w:r>
            <w:r>
              <w:rPr>
                <w:sz w:val="24"/>
              </w:rPr>
              <w:t>eed Forward Neural Network, FNN</w:t>
            </w:r>
            <w:r>
              <w:rPr>
                <w:rFonts w:hint="eastAsia"/>
                <w:sz w:val="24"/>
              </w:rPr>
              <w:t>）。</w:t>
            </w:r>
          </w:p>
          <w:p w14:paraId="7EB1A198" w14:textId="77777777" w:rsidR="00E22223" w:rsidRDefault="00000000">
            <w:pPr>
              <w:pStyle w:val="af"/>
              <w:ind w:rightChars="21" w:right="44" w:firstLineChars="202" w:firstLine="485"/>
              <w:jc w:val="center"/>
              <w:rPr>
                <w:sz w:val="24"/>
              </w:rPr>
            </w:pPr>
            <w:r>
              <w:rPr>
                <w:noProof/>
                <w:color w:val="FF0000"/>
                <w:sz w:val="24"/>
              </w:rPr>
              <w:lastRenderedPageBreak/>
              <w:drawing>
                <wp:inline distT="0" distB="0" distL="0" distR="0" wp14:anchorId="1FD2D750" wp14:editId="769AED07">
                  <wp:extent cx="4318000" cy="2106930"/>
                  <wp:effectExtent l="0" t="0" r="635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36933" cy="2116252"/>
                          </a:xfrm>
                          <a:prstGeom prst="rect">
                            <a:avLst/>
                          </a:prstGeom>
                        </pic:spPr>
                      </pic:pic>
                    </a:graphicData>
                  </a:graphic>
                </wp:inline>
              </w:drawing>
            </w:r>
          </w:p>
          <w:p w14:paraId="7F913415" w14:textId="77777777" w:rsidR="00E22223" w:rsidRDefault="00000000">
            <w:pPr>
              <w:ind w:rightChars="21" w:right="44"/>
              <w:jc w:val="center"/>
              <w:rPr>
                <w:sz w:val="24"/>
              </w:rPr>
            </w:pPr>
            <w:r>
              <w:rPr>
                <w:rFonts w:hint="eastAsia"/>
                <w:sz w:val="24"/>
              </w:rPr>
              <w:t>图</w:t>
            </w:r>
            <w:r>
              <w:rPr>
                <w:rFonts w:hint="eastAsia"/>
                <w:sz w:val="24"/>
              </w:rPr>
              <w:t>8</w:t>
            </w:r>
            <w:r>
              <w:rPr>
                <w:rFonts w:hint="eastAsia"/>
                <w:sz w:val="24"/>
              </w:rPr>
              <w:t>：</w:t>
            </w:r>
            <w:r>
              <w:rPr>
                <w:rFonts w:hint="eastAsia"/>
                <w:sz w:val="24"/>
              </w:rPr>
              <w:t>Transformer</w:t>
            </w:r>
            <w:r>
              <w:rPr>
                <w:rFonts w:hint="eastAsia"/>
                <w:sz w:val="24"/>
              </w:rPr>
              <w:t>编码器模型</w:t>
            </w:r>
          </w:p>
          <w:p w14:paraId="0088112E" w14:textId="77777777" w:rsidR="00E22223" w:rsidRDefault="00000000">
            <w:pPr>
              <w:pStyle w:val="af"/>
              <w:ind w:rightChars="21" w:right="44" w:firstLineChars="202" w:firstLine="485"/>
              <w:rPr>
                <w:sz w:val="24"/>
              </w:rPr>
            </w:pPr>
            <w:r>
              <w:rPr>
                <w:rFonts w:hint="eastAsia"/>
                <w:sz w:val="24"/>
              </w:rPr>
              <w:t>多头注意力层是由自注意力机制构建，其主要目的是使当前节点不只关注当前信息，而是对整体分子中的序列信息进行关注。自注意力机制可以使得神经网络具备专注于其输入（或特征）子集的选择特定的输入的能力。在计算能力有限的情况下，注意力机制有助于将计算资源分配给更重要的部分。其表示形式为：</w:t>
            </w:r>
          </w:p>
          <w:p w14:paraId="7F07B573" w14:textId="77777777" w:rsidR="00E22223" w:rsidRDefault="00000000">
            <w:pPr>
              <w:pStyle w:val="af"/>
              <w:tabs>
                <w:tab w:val="center" w:pos="4150"/>
                <w:tab w:val="right" w:pos="8300"/>
              </w:tabs>
              <w:ind w:rightChars="21" w:right="44" w:firstLineChars="202" w:firstLine="485"/>
              <w:rPr>
                <w:sz w:val="24"/>
              </w:rPr>
            </w:pPr>
            <w:r>
              <w:rPr>
                <w:sz w:val="24"/>
              </w:rPr>
              <w:tab/>
            </w:r>
            <w:r>
              <w:rPr>
                <w:position w:val="-11"/>
                <w:sz w:val="24"/>
              </w:rPr>
              <w:object w:dxaOrig="4177" w:dyaOrig="352" w14:anchorId="308424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85pt;height:17.6pt" o:ole="">
                  <v:imagedata r:id="rId18" o:title=""/>
                </v:shape>
                <o:OLEObject Type="Embed" ProgID="Equation.AxMath" ShapeID="_x0000_i1025" DrawAspect="Content" ObjectID="_1730276129" r:id="rId19"/>
              </w:object>
            </w:r>
          </w:p>
          <w:p w14:paraId="65C8EF44" w14:textId="77777777" w:rsidR="00E22223" w:rsidRDefault="00000000">
            <w:pPr>
              <w:pStyle w:val="af"/>
              <w:tabs>
                <w:tab w:val="center" w:pos="4150"/>
                <w:tab w:val="right" w:pos="8300"/>
              </w:tabs>
              <w:ind w:rightChars="21" w:right="44" w:firstLineChars="202" w:firstLine="485"/>
              <w:rPr>
                <w:sz w:val="24"/>
              </w:rPr>
            </w:pPr>
            <w:r>
              <w:rPr>
                <w:sz w:val="24"/>
              </w:rPr>
              <w:t>前馈网络层由两个线性变换函数和一个激活函数构成</w:t>
            </w:r>
            <w:r>
              <w:rPr>
                <w:rFonts w:hint="eastAsia"/>
                <w:sz w:val="24"/>
              </w:rPr>
              <w:t>，</w:t>
            </w:r>
            <w:r>
              <w:rPr>
                <w:sz w:val="24"/>
              </w:rPr>
              <w:t>其目的是更新多头注意力层中输出向量的每个状态信息</w:t>
            </w:r>
            <w:r>
              <w:rPr>
                <w:rFonts w:hint="eastAsia"/>
                <w:sz w:val="24"/>
              </w:rPr>
              <w:t>。</w:t>
            </w:r>
            <w:r>
              <w:rPr>
                <w:sz w:val="24"/>
              </w:rPr>
              <w:t>编码器层中的两个子层由残差网络和归一化层进行连接。残差网络主要对原始向量和经过多头注意力层的输出向量进行相加操作，其主要目的是防止经过多头注意力层的向量丢失一些重要信息。归一化层主要控制输入向量长度的动态变化</w:t>
            </w:r>
            <w:r>
              <w:rPr>
                <w:rFonts w:hint="eastAsia"/>
                <w:sz w:val="24"/>
              </w:rPr>
              <w:t>，</w:t>
            </w:r>
            <w:r>
              <w:rPr>
                <w:sz w:val="24"/>
              </w:rPr>
              <w:t>防止神经网络层的参数变化导致其输入的分布产生较大的差异。</w:t>
            </w:r>
          </w:p>
          <w:p w14:paraId="688FFE0F" w14:textId="77777777" w:rsidR="00E22223" w:rsidRDefault="00000000">
            <w:pPr>
              <w:pStyle w:val="af"/>
              <w:snapToGrid w:val="0"/>
              <w:ind w:rightChars="21" w:right="44" w:firstLineChars="202" w:firstLine="485"/>
              <w:rPr>
                <w:sz w:val="24"/>
              </w:rPr>
            </w:pPr>
            <w:r>
              <w:rPr>
                <w:rFonts w:hint="eastAsia"/>
                <w:sz w:val="24"/>
              </w:rPr>
              <w:t>Transformer</w:t>
            </w:r>
            <w:r>
              <w:rPr>
                <w:rFonts w:hint="eastAsia"/>
                <w:sz w:val="24"/>
              </w:rPr>
              <w:t>采用多头注意力机制（</w:t>
            </w:r>
            <w:r>
              <w:rPr>
                <w:rFonts w:hint="eastAsia"/>
                <w:sz w:val="24"/>
              </w:rPr>
              <w:t>Multi</w:t>
            </w:r>
            <w:r>
              <w:rPr>
                <w:sz w:val="24"/>
              </w:rPr>
              <w:t>-head attention</w:t>
            </w:r>
            <w:r>
              <w:rPr>
                <w:rFonts w:hint="eastAsia"/>
                <w:sz w:val="24"/>
              </w:rPr>
              <w:t>），自注意力机制可以描述为将查询和一组键</w:t>
            </w:r>
            <w:r>
              <w:rPr>
                <w:rFonts w:hint="eastAsia"/>
                <w:sz w:val="24"/>
              </w:rPr>
              <w:t>-</w:t>
            </w:r>
            <w:r>
              <w:rPr>
                <w:rFonts w:hint="eastAsia"/>
                <w:sz w:val="24"/>
              </w:rPr>
              <w:t>值对映射到注意力机制的输出中，其中查询（</w:t>
            </w:r>
            <w:r>
              <w:rPr>
                <w:rFonts w:hint="eastAsia"/>
                <w:sz w:val="24"/>
              </w:rPr>
              <w:t>Query</w:t>
            </w:r>
            <w:r>
              <w:rPr>
                <w:sz w:val="24"/>
              </w:rPr>
              <w:t>, Q</w:t>
            </w:r>
            <w:r>
              <w:rPr>
                <w:rFonts w:hint="eastAsia"/>
                <w:sz w:val="24"/>
              </w:rPr>
              <w:t>）、键（</w:t>
            </w:r>
            <w:r>
              <w:rPr>
                <w:rFonts w:hint="eastAsia"/>
                <w:sz w:val="24"/>
              </w:rPr>
              <w:t>K</w:t>
            </w:r>
            <w:r>
              <w:rPr>
                <w:sz w:val="24"/>
              </w:rPr>
              <w:t>ey, K</w:t>
            </w:r>
            <w:r>
              <w:rPr>
                <w:rFonts w:hint="eastAsia"/>
                <w:sz w:val="24"/>
              </w:rPr>
              <w:t>）、值（</w:t>
            </w:r>
            <w:r>
              <w:rPr>
                <w:rFonts w:hint="eastAsia"/>
                <w:sz w:val="24"/>
              </w:rPr>
              <w:t>V</w:t>
            </w:r>
            <w:r>
              <w:rPr>
                <w:sz w:val="24"/>
              </w:rPr>
              <w:t>alue, V</w:t>
            </w:r>
            <w:r>
              <w:rPr>
                <w:rFonts w:hint="eastAsia"/>
                <w:sz w:val="24"/>
              </w:rPr>
              <w:t>）和输出都是向量。当使用自注意力机制进行实验时，使用不同的线性函数将查询、键和值分别映射到</w:t>
            </w:r>
            <w:r>
              <w:rPr>
                <w:rFonts w:hint="eastAsia"/>
                <w:sz w:val="24"/>
              </w:rPr>
              <w:t xml:space="preserve"> h </w:t>
            </w:r>
            <w:r>
              <w:rPr>
                <w:rFonts w:hint="eastAsia"/>
                <w:sz w:val="24"/>
              </w:rPr>
              <w:t>次向量中能提取到不同的关注内容信息。因此提出多头注意力机制，其放缩点乘注意力（</w:t>
            </w:r>
            <w:r>
              <w:rPr>
                <w:rFonts w:hint="eastAsia"/>
                <w:sz w:val="24"/>
              </w:rPr>
              <w:t>S</w:t>
            </w:r>
            <w:r>
              <w:rPr>
                <w:sz w:val="24"/>
              </w:rPr>
              <w:t>caled Dot-Product Attention</w:t>
            </w:r>
            <w:r>
              <w:rPr>
                <w:rFonts w:hint="eastAsia"/>
                <w:sz w:val="24"/>
              </w:rPr>
              <w:t>）需做</w:t>
            </w:r>
            <w:r>
              <w:rPr>
                <w:position w:val="-12"/>
                <w:sz w:val="24"/>
              </w:rPr>
              <w:object w:dxaOrig="352" w:dyaOrig="363" w14:anchorId="588C236D">
                <v:shape id="_x0000_i1026" type="#_x0000_t75" style="width:17.6pt;height:18.15pt" o:ole="">
                  <v:imagedata r:id="rId20" o:title=""/>
                </v:shape>
                <o:OLEObject Type="Embed" ProgID="Equation.AxMath" ShapeID="_x0000_i1026" DrawAspect="Content" ObjectID="_1730276130" r:id="rId21"/>
              </w:object>
            </w:r>
            <w:r>
              <w:rPr>
                <w:rFonts w:hint="eastAsia"/>
                <w:sz w:val="24"/>
              </w:rPr>
              <w:t>次，即多头。头之间参数不共享，即每次</w:t>
            </w:r>
            <w:r>
              <w:rPr>
                <w:rFonts w:hint="eastAsia"/>
                <w:sz w:val="24"/>
              </w:rPr>
              <w:t>Q</w:t>
            </w:r>
            <w:r>
              <w:rPr>
                <w:sz w:val="24"/>
              </w:rPr>
              <w:t>,K,V</w:t>
            </w:r>
            <w:r>
              <w:rPr>
                <w:rFonts w:hint="eastAsia"/>
                <w:sz w:val="24"/>
              </w:rPr>
              <w:t>进行线性变换的参数</w:t>
            </w:r>
            <w:r>
              <w:rPr>
                <w:rFonts w:hint="eastAsia"/>
                <w:sz w:val="24"/>
              </w:rPr>
              <w:t>W</w:t>
            </w:r>
            <w:r>
              <w:rPr>
                <w:rFonts w:hint="eastAsia"/>
                <w:sz w:val="24"/>
              </w:rPr>
              <w:t>不一样，然后将</w:t>
            </w:r>
            <w:r>
              <w:rPr>
                <w:position w:val="-12"/>
                <w:sz w:val="24"/>
              </w:rPr>
              <w:object w:dxaOrig="352" w:dyaOrig="363" w14:anchorId="1337EFCE">
                <v:shape id="_x0000_i1027" type="#_x0000_t75" style="width:17.6pt;height:18.15pt" o:ole="">
                  <v:imagedata r:id="rId20" o:title=""/>
                </v:shape>
                <o:OLEObject Type="Embed" ProgID="Equation.AxMath" ShapeID="_x0000_i1027" DrawAspect="Content" ObjectID="_1730276131" r:id="rId22"/>
              </w:object>
            </w:r>
            <w:r>
              <w:rPr>
                <w:rFonts w:hint="eastAsia"/>
                <w:sz w:val="24"/>
              </w:rPr>
              <w:t>次的放缩点乘注意力结果进行拼接后再进行一次线性变换得到的值作为多头注意力的结果，从而允许模型在不同表示的子空间里学习到相关的信息。</w:t>
            </w:r>
          </w:p>
          <w:p w14:paraId="7712770A" w14:textId="77777777" w:rsidR="00E22223" w:rsidRDefault="00000000">
            <w:pPr>
              <w:ind w:rightChars="21" w:right="44"/>
              <w:jc w:val="center"/>
              <w:rPr>
                <w:sz w:val="24"/>
              </w:rPr>
            </w:pPr>
            <w:r>
              <w:rPr>
                <w:noProof/>
              </w:rPr>
              <w:lastRenderedPageBreak/>
              <w:drawing>
                <wp:inline distT="0" distB="0" distL="0" distR="0" wp14:anchorId="63F77831" wp14:editId="27CADF25">
                  <wp:extent cx="4250690" cy="3423920"/>
                  <wp:effectExtent l="0" t="0" r="0"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61873" cy="3433204"/>
                          </a:xfrm>
                          <a:prstGeom prst="rect">
                            <a:avLst/>
                          </a:prstGeom>
                        </pic:spPr>
                      </pic:pic>
                    </a:graphicData>
                  </a:graphic>
                </wp:inline>
              </w:drawing>
            </w:r>
          </w:p>
          <w:p w14:paraId="1A6DA290" w14:textId="77777777" w:rsidR="00E22223" w:rsidRDefault="00000000">
            <w:pPr>
              <w:ind w:rightChars="21" w:right="44"/>
              <w:jc w:val="center"/>
              <w:rPr>
                <w:sz w:val="24"/>
              </w:rPr>
            </w:pPr>
            <w:r>
              <w:rPr>
                <w:rFonts w:hint="eastAsia"/>
                <w:sz w:val="24"/>
              </w:rPr>
              <w:t>图</w:t>
            </w:r>
            <w:r>
              <w:rPr>
                <w:rFonts w:hint="eastAsia"/>
                <w:sz w:val="24"/>
              </w:rPr>
              <w:t>9</w:t>
            </w:r>
            <w:r>
              <w:rPr>
                <w:rFonts w:hint="eastAsia"/>
                <w:sz w:val="24"/>
              </w:rPr>
              <w:t>：自注意力机制的计算过程</w:t>
            </w:r>
          </w:p>
          <w:p w14:paraId="7B021F63" w14:textId="77777777" w:rsidR="00E22223" w:rsidRDefault="00E22223">
            <w:pPr>
              <w:ind w:rightChars="21" w:right="44"/>
              <w:jc w:val="center"/>
              <w:rPr>
                <w:sz w:val="24"/>
              </w:rPr>
            </w:pPr>
          </w:p>
          <w:p w14:paraId="1B7B1832" w14:textId="77777777" w:rsidR="00E22223" w:rsidRDefault="00000000">
            <w:pPr>
              <w:pStyle w:val="af"/>
              <w:snapToGrid w:val="0"/>
              <w:ind w:rightChars="21" w:right="44" w:firstLineChars="202" w:firstLine="485"/>
              <w:rPr>
                <w:sz w:val="24"/>
              </w:rPr>
            </w:pPr>
            <w:r>
              <w:rPr>
                <w:rFonts w:hint="eastAsia"/>
                <w:sz w:val="24"/>
              </w:rPr>
              <w:t>具体来说，给定一个药物</w:t>
            </w:r>
            <w:r>
              <w:rPr>
                <w:rFonts w:hint="eastAsia"/>
                <w:sz w:val="24"/>
              </w:rPr>
              <w:t>S</w:t>
            </w:r>
            <w:r>
              <w:rPr>
                <w:sz w:val="24"/>
              </w:rPr>
              <w:t>MILES</w:t>
            </w:r>
            <w:r>
              <w:rPr>
                <w:rFonts w:hint="eastAsia"/>
                <w:sz w:val="24"/>
              </w:rPr>
              <w:t>和蛋白质序列信息，将分子序列信息分解为子结构，特征矩阵</w:t>
            </w:r>
            <w:r>
              <w:rPr>
                <w:position w:val="-12"/>
                <w:sz w:val="24"/>
              </w:rPr>
              <w:object w:dxaOrig="1253" w:dyaOrig="374" w14:anchorId="2CDF6523">
                <v:shape id="_x0000_i1028" type="#_x0000_t75" style="width:62.65pt;height:18.7pt" o:ole="">
                  <v:imagedata r:id="rId24" o:title=""/>
                </v:shape>
                <o:OLEObject Type="Embed" ProgID="Equation.AxMath" ShapeID="_x0000_i1028" DrawAspect="Content" ObjectID="_1730276132" r:id="rId25"/>
              </w:object>
            </w:r>
            <w:r>
              <w:rPr>
                <w:rFonts w:hint="eastAsia"/>
                <w:sz w:val="24"/>
              </w:rPr>
              <w:t>，每个头的多头自注意力模块使用放缩点乘注意力，计算为：</w:t>
            </w:r>
          </w:p>
          <w:p w14:paraId="5C5BFA1F" w14:textId="77777777" w:rsidR="00E22223" w:rsidRDefault="00000000">
            <w:pPr>
              <w:pStyle w:val="AMDisplayEquation"/>
              <w:snapToGrid w:val="0"/>
              <w:ind w:left="0" w:rightChars="21" w:right="44" w:firstLineChars="202" w:firstLine="485"/>
              <w:jc w:val="center"/>
              <w:rPr>
                <w:rFonts w:ascii="Times New Roman" w:eastAsia="宋体" w:hAnsi="Times New Roman"/>
                <w:sz w:val="24"/>
              </w:rPr>
            </w:pPr>
            <w:r>
              <w:rPr>
                <w:rFonts w:ascii="Times New Roman" w:eastAsia="宋体" w:hAnsi="Times New Roman"/>
                <w:position w:val="-56"/>
                <w:sz w:val="24"/>
              </w:rPr>
              <w:object w:dxaOrig="4188" w:dyaOrig="1264" w14:anchorId="1137A943">
                <v:shape id="_x0000_i1029" type="#_x0000_t75" style="width:209.4pt;height:63.2pt" o:ole="">
                  <v:imagedata r:id="rId26" o:title=""/>
                </v:shape>
                <o:OLEObject Type="Embed" ProgID="Equation.AxMath" ShapeID="_x0000_i1029" DrawAspect="Content" ObjectID="_1730276133" r:id="rId27"/>
              </w:object>
            </w:r>
          </w:p>
          <w:p w14:paraId="4F976DCC" w14:textId="77777777" w:rsidR="00E22223" w:rsidRDefault="00000000">
            <w:pPr>
              <w:snapToGrid w:val="0"/>
              <w:ind w:rightChars="21" w:right="44" w:firstLineChars="202" w:firstLine="485"/>
              <w:rPr>
                <w:sz w:val="24"/>
              </w:rPr>
            </w:pPr>
            <w:r>
              <w:rPr>
                <w:rFonts w:hint="eastAsia"/>
                <w:sz w:val="24"/>
              </w:rPr>
              <w:t>其中，</w:t>
            </w:r>
            <w:r>
              <w:rPr>
                <w:position w:val="-12"/>
                <w:sz w:val="24"/>
              </w:rPr>
              <w:object w:dxaOrig="4628" w:dyaOrig="385" w14:anchorId="1F653600">
                <v:shape id="_x0000_i1030" type="#_x0000_t75" style="width:231.4pt;height:19.25pt" o:ole="">
                  <v:imagedata r:id="rId28" o:title=""/>
                </v:shape>
                <o:OLEObject Type="Embed" ProgID="Equation.AxMath" ShapeID="_x0000_i1030" DrawAspect="Content" ObjectID="_1730276134" r:id="rId29"/>
              </w:object>
            </w:r>
            <w:r>
              <w:rPr>
                <w:rFonts w:hint="eastAsia"/>
                <w:sz w:val="24"/>
              </w:rPr>
              <w:t>代表第</w:t>
            </w:r>
            <w:r>
              <w:rPr>
                <w:rFonts w:hint="eastAsia"/>
                <w:sz w:val="24"/>
              </w:rPr>
              <w:t>l</w:t>
            </w:r>
            <w:r>
              <w:rPr>
                <w:rFonts w:hint="eastAsia"/>
                <w:sz w:val="24"/>
              </w:rPr>
              <w:t>层</w:t>
            </w:r>
            <w:r>
              <w:rPr>
                <w:rFonts w:hint="eastAsia"/>
                <w:sz w:val="24"/>
              </w:rPr>
              <w:t>k</w:t>
            </w:r>
            <w:r>
              <w:rPr>
                <w:rFonts w:hint="eastAsia"/>
                <w:sz w:val="24"/>
              </w:rPr>
              <w:t>头的可训练投影权值矩阵。每个子结构有三个不同的向量</w:t>
            </w:r>
            <w:r>
              <w:rPr>
                <w:rFonts w:hint="eastAsia"/>
                <w:sz w:val="24"/>
              </w:rPr>
              <w:t>Q,</w:t>
            </w:r>
            <w:r>
              <w:rPr>
                <w:sz w:val="24"/>
              </w:rPr>
              <w:t xml:space="preserve"> K, V</w:t>
            </w:r>
            <w:r>
              <w:rPr>
                <w:rFonts w:hint="eastAsia"/>
                <w:sz w:val="24"/>
              </w:rPr>
              <w:t>，它们是由嵌入向量</w:t>
            </w:r>
            <w:r>
              <w:rPr>
                <w:rFonts w:hint="eastAsia"/>
                <w:sz w:val="24"/>
              </w:rPr>
              <w:t>X</w:t>
            </w:r>
            <w:r>
              <w:rPr>
                <w:rFonts w:hint="eastAsia"/>
                <w:sz w:val="24"/>
              </w:rPr>
              <w:t>乘以</w:t>
            </w:r>
            <w:r>
              <w:rPr>
                <w:position w:val="-12"/>
                <w:sz w:val="24"/>
              </w:rPr>
              <w:object w:dxaOrig="1737" w:dyaOrig="363" w14:anchorId="08D55C7E">
                <v:shape id="_x0000_i1031" type="#_x0000_t75" style="width:86.85pt;height:18.15pt" o:ole="">
                  <v:imagedata r:id="rId30" o:title=""/>
                </v:shape>
                <o:OLEObject Type="Embed" ProgID="Equation.AxMath" ShapeID="_x0000_i1031" DrawAspect="Content" ObjectID="_1730276135" r:id="rId31"/>
              </w:object>
            </w:r>
            <w:r>
              <w:rPr>
                <w:rFonts w:hint="eastAsia"/>
                <w:sz w:val="24"/>
              </w:rPr>
              <w:t>得到。</w:t>
            </w:r>
            <w:r>
              <w:rPr>
                <w:position w:val="-26"/>
                <w:sz w:val="24"/>
              </w:rPr>
              <w:object w:dxaOrig="1022" w:dyaOrig="671" w14:anchorId="7C4A13FA">
                <v:shape id="_x0000_i1032" type="#_x0000_t75" style="width:51.1pt;height:33.55pt" o:ole="">
                  <v:imagedata r:id="rId32" o:title=""/>
                </v:shape>
                <o:OLEObject Type="Embed" ProgID="Equation.AxMath" ShapeID="_x0000_i1032" DrawAspect="Content" ObjectID="_1730276136" r:id="rId33"/>
              </w:object>
            </w:r>
            <w:r>
              <w:rPr>
                <w:rFonts w:hint="eastAsia"/>
                <w:sz w:val="24"/>
              </w:rPr>
              <w:t>代表每个自注意力头的维度，</w:t>
            </w:r>
            <w:r>
              <w:rPr>
                <w:position w:val="-12"/>
                <w:sz w:val="24"/>
              </w:rPr>
              <w:object w:dxaOrig="374" w:dyaOrig="363" w14:anchorId="40ED6597">
                <v:shape id="_x0000_i1033" type="#_x0000_t75" style="width:18.7pt;height:18.15pt" o:ole="">
                  <v:imagedata r:id="rId34" o:title=""/>
                </v:shape>
                <o:OLEObject Type="Embed" ProgID="Equation.AxMath" ShapeID="_x0000_i1033" DrawAspect="Content" ObjectID="_1730276137" r:id="rId35"/>
              </w:object>
            </w:r>
            <w:r>
              <w:rPr>
                <w:rFonts w:hint="eastAsia"/>
                <w:sz w:val="24"/>
              </w:rPr>
              <w:t>代表自注意力头的数量。</w:t>
            </w:r>
          </w:p>
          <w:p w14:paraId="7F5C1295" w14:textId="77777777" w:rsidR="00E22223" w:rsidRDefault="00000000">
            <w:pPr>
              <w:snapToGrid w:val="0"/>
              <w:ind w:rightChars="21" w:right="44" w:firstLineChars="202" w:firstLine="485"/>
              <w:rPr>
                <w:sz w:val="24"/>
              </w:rPr>
            </w:pPr>
            <w:r>
              <w:rPr>
                <w:position w:val="-32"/>
                <w:sz w:val="24"/>
              </w:rPr>
              <w:object w:dxaOrig="671" w:dyaOrig="715" w14:anchorId="6E5F30CA">
                <v:shape id="_x0000_i1034" type="#_x0000_t75" style="width:33.55pt;height:35.75pt" o:ole="">
                  <v:imagedata r:id="rId36" o:title=""/>
                </v:shape>
                <o:OLEObject Type="Embed" ProgID="Equation.AxMath" ShapeID="_x0000_i1034" DrawAspect="Content" ObjectID="_1730276138" r:id="rId37"/>
              </w:object>
            </w:r>
            <w:r>
              <w:rPr>
                <w:rFonts w:hint="eastAsia"/>
                <w:sz w:val="24"/>
              </w:rPr>
              <w:t>为缩放因子，从而</w:t>
            </w:r>
            <w:r>
              <w:rPr>
                <w:sz w:val="24"/>
              </w:rPr>
              <w:t>避免</w:t>
            </w:r>
            <w:r>
              <w:rPr>
                <w:position w:val="-13"/>
                <w:sz w:val="24"/>
              </w:rPr>
              <w:object w:dxaOrig="605" w:dyaOrig="418" w14:anchorId="54DF948A">
                <v:shape id="_x0000_i1035" type="#_x0000_t75" style="width:30.25pt;height:20.9pt" o:ole="">
                  <v:imagedata r:id="rId38" o:title=""/>
                </v:shape>
                <o:OLEObject Type="Embed" ProgID="Equation.AxMath" ShapeID="_x0000_i1035" DrawAspect="Content" ObjectID="_1730276139" r:id="rId39"/>
              </w:object>
            </w:r>
            <w:r>
              <w:rPr>
                <w:sz w:val="24"/>
              </w:rPr>
              <w:t>较大时，存在某个Ｋ与Ｑ计算出来的对齐分数远大于其他的Ｋ与该Ｑ算出的对齐分数，这时</w:t>
            </w:r>
            <w:r>
              <w:rPr>
                <w:rFonts w:hint="eastAsia"/>
                <w:sz w:val="24"/>
              </w:rPr>
              <w:t>softmax</w:t>
            </w:r>
            <w:r>
              <w:rPr>
                <w:sz w:val="24"/>
              </w:rPr>
              <w:t>函数对各个</w:t>
            </w:r>
            <w:r>
              <w:rPr>
                <w:position w:val="-11"/>
                <w:sz w:val="24"/>
              </w:rPr>
              <w:object w:dxaOrig="561" w:dyaOrig="363" w14:anchorId="20526659">
                <v:shape id="_x0000_i1036" type="#_x0000_t75" style="width:28.05pt;height:18.15pt" o:ole="">
                  <v:imagedata r:id="rId40" o:title=""/>
                </v:shape>
                <o:OLEObject Type="Embed" ProgID="Equation.AxMath" ShapeID="_x0000_i1036" DrawAspect="Content" ObjectID="_1730276140" r:id="rId41"/>
              </w:object>
            </w:r>
            <w:r>
              <w:rPr>
                <w:sz w:val="24"/>
              </w:rPr>
              <w:t>的偏导数都趋于</w:t>
            </w:r>
            <w:r>
              <w:rPr>
                <w:rFonts w:hint="eastAsia"/>
                <w:sz w:val="24"/>
              </w:rPr>
              <w:t>0</w:t>
            </w:r>
            <w:r>
              <w:rPr>
                <w:sz w:val="24"/>
              </w:rPr>
              <w:t>。</w:t>
            </w:r>
          </w:p>
          <w:p w14:paraId="0A41D86A" w14:textId="77777777" w:rsidR="00E22223" w:rsidRDefault="00000000">
            <w:pPr>
              <w:snapToGrid w:val="0"/>
              <w:ind w:rightChars="21" w:right="44" w:firstLineChars="202" w:firstLine="485"/>
              <w:rPr>
                <w:sz w:val="24"/>
              </w:rPr>
            </w:pPr>
            <w:r>
              <w:rPr>
                <w:rFonts w:hint="eastAsia"/>
                <w:sz w:val="24"/>
              </w:rPr>
              <w:t>将</w:t>
            </w:r>
            <w:r>
              <w:rPr>
                <w:position w:val="-12"/>
                <w:sz w:val="24"/>
              </w:rPr>
              <w:object w:dxaOrig="374" w:dyaOrig="363" w14:anchorId="142D339C">
                <v:shape id="_x0000_i1037" type="#_x0000_t75" style="width:18.7pt;height:18.15pt" o:ole="">
                  <v:imagedata r:id="rId34" o:title=""/>
                </v:shape>
                <o:OLEObject Type="Embed" ProgID="Equation.AxMath" ShapeID="_x0000_i1037" DrawAspect="Content" ObjectID="_1730276141" r:id="rId42"/>
              </w:object>
            </w:r>
            <w:r>
              <w:rPr>
                <w:rFonts w:hint="eastAsia"/>
                <w:sz w:val="24"/>
              </w:rPr>
              <w:t>次的放缩点乘注意力结果拼接并进行一次线性变化得：</w:t>
            </w:r>
          </w:p>
          <w:p w14:paraId="1B181EC5" w14:textId="77777777" w:rsidR="00E22223" w:rsidRDefault="00000000">
            <w:pPr>
              <w:snapToGrid w:val="0"/>
              <w:ind w:rightChars="21" w:right="44" w:firstLineChars="202" w:firstLine="424"/>
              <w:jc w:val="center"/>
              <w:rPr>
                <w:sz w:val="24"/>
              </w:rPr>
            </w:pPr>
            <w:r>
              <w:rPr>
                <w:position w:val="-13"/>
              </w:rPr>
              <w:object w:dxaOrig="4815" w:dyaOrig="385" w14:anchorId="2521A1E5">
                <v:shape id="_x0000_i1038" type="#_x0000_t75" style="width:240.75pt;height:19.25pt" o:ole="">
                  <v:imagedata r:id="rId43" o:title=""/>
                </v:shape>
                <o:OLEObject Type="Embed" ProgID="Equation.AxMath" ShapeID="_x0000_i1038" DrawAspect="Content" ObjectID="_1730276142" r:id="rId44"/>
              </w:object>
            </w:r>
          </w:p>
          <w:p w14:paraId="07613141" w14:textId="77777777" w:rsidR="00E22223" w:rsidRDefault="00000000">
            <w:pPr>
              <w:snapToGrid w:val="0"/>
              <w:ind w:rightChars="21" w:right="44" w:firstLineChars="202" w:firstLine="485"/>
              <w:rPr>
                <w:sz w:val="24"/>
              </w:rPr>
            </w:pPr>
            <w:r>
              <w:rPr>
                <w:rFonts w:hint="eastAsia"/>
                <w:sz w:val="24"/>
              </w:rPr>
              <w:t>输出</w:t>
            </w:r>
            <w:r>
              <w:rPr>
                <w:position w:val="-11"/>
                <w:sz w:val="24"/>
              </w:rPr>
              <w:object w:dxaOrig="1253" w:dyaOrig="363" w14:anchorId="164C86D7">
                <v:shape id="_x0000_i1039" type="#_x0000_t75" style="width:62.65pt;height:18.15pt" o:ole="">
                  <v:imagedata r:id="rId45" o:title=""/>
                </v:shape>
                <o:OLEObject Type="Embed" ProgID="Equation.AxMath" ShapeID="_x0000_i1039" DrawAspect="Content" ObjectID="_1730276143" r:id="rId46"/>
              </w:object>
            </w:r>
            <w:r>
              <w:rPr>
                <w:rFonts w:hint="eastAsia"/>
                <w:sz w:val="24"/>
              </w:rPr>
              <w:t>后将其传递给前馈神经网络（</w:t>
            </w:r>
            <w:r>
              <w:rPr>
                <w:rFonts w:hint="eastAsia"/>
                <w:sz w:val="24"/>
              </w:rPr>
              <w:t>F</w:t>
            </w:r>
            <w:r>
              <w:rPr>
                <w:sz w:val="24"/>
              </w:rPr>
              <w:t>FN</w:t>
            </w:r>
            <w:r>
              <w:rPr>
                <w:rFonts w:hint="eastAsia"/>
                <w:sz w:val="24"/>
              </w:rPr>
              <w:t>），这个全连接包含两个线性转换，并使用函数</w:t>
            </w:r>
            <w:r>
              <w:rPr>
                <w:rFonts w:hint="eastAsia"/>
                <w:sz w:val="24"/>
              </w:rPr>
              <w:t>ReL</w:t>
            </w:r>
            <w:r>
              <w:rPr>
                <w:sz w:val="24"/>
              </w:rPr>
              <w:t>U</w:t>
            </w:r>
            <w:r>
              <w:rPr>
                <w:rFonts w:hint="eastAsia"/>
                <w:sz w:val="24"/>
              </w:rPr>
              <w:t>进行激活。可以表示为：</w:t>
            </w:r>
          </w:p>
          <w:p w14:paraId="36AB3B3E" w14:textId="77777777" w:rsidR="00E22223" w:rsidRDefault="00000000">
            <w:pPr>
              <w:pStyle w:val="AMDisplayEquation"/>
              <w:snapToGrid w:val="0"/>
              <w:ind w:left="0" w:rightChars="21" w:right="44" w:firstLineChars="202" w:firstLine="485"/>
              <w:jc w:val="center"/>
              <w:rPr>
                <w:rFonts w:ascii="Times New Roman" w:eastAsia="宋体" w:hAnsi="Times New Roman"/>
                <w:sz w:val="24"/>
              </w:rPr>
            </w:pPr>
            <w:r>
              <w:rPr>
                <w:rFonts w:ascii="Times New Roman" w:eastAsia="宋体" w:hAnsi="Times New Roman"/>
                <w:position w:val="-12"/>
                <w:sz w:val="24"/>
              </w:rPr>
              <w:object w:dxaOrig="3803" w:dyaOrig="374" w14:anchorId="10DDA5DF">
                <v:shape id="_x0000_i1040" type="#_x0000_t75" style="width:190.15pt;height:18.7pt" o:ole="">
                  <v:imagedata r:id="rId47" o:title=""/>
                </v:shape>
                <o:OLEObject Type="Embed" ProgID="Equation.AxMath" ShapeID="_x0000_i1040" DrawAspect="Content" ObjectID="_1730276144" r:id="rId48"/>
              </w:object>
            </w:r>
          </w:p>
          <w:p w14:paraId="620C8EF1" w14:textId="77777777" w:rsidR="00E22223" w:rsidRDefault="00000000">
            <w:pPr>
              <w:ind w:rightChars="21" w:right="44"/>
              <w:jc w:val="center"/>
              <w:rPr>
                <w:sz w:val="24"/>
              </w:rPr>
            </w:pPr>
            <w:r>
              <w:rPr>
                <w:rFonts w:hint="eastAsia"/>
                <w:noProof/>
                <w:sz w:val="24"/>
              </w:rPr>
              <w:lastRenderedPageBreak/>
              <w:drawing>
                <wp:inline distT="0" distB="0" distL="0" distR="0" wp14:anchorId="22312598" wp14:editId="527BF9EE">
                  <wp:extent cx="2882265" cy="264922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04272" cy="2668951"/>
                          </a:xfrm>
                          <a:prstGeom prst="rect">
                            <a:avLst/>
                          </a:prstGeom>
                        </pic:spPr>
                      </pic:pic>
                    </a:graphicData>
                  </a:graphic>
                </wp:inline>
              </w:drawing>
            </w:r>
          </w:p>
          <w:p w14:paraId="16D49017" w14:textId="77777777" w:rsidR="00E22223" w:rsidRDefault="00000000">
            <w:pPr>
              <w:ind w:rightChars="21" w:right="44"/>
              <w:jc w:val="center"/>
              <w:rPr>
                <w:sz w:val="24"/>
              </w:rPr>
            </w:pPr>
            <w:r>
              <w:rPr>
                <w:rFonts w:hint="eastAsia"/>
                <w:sz w:val="24"/>
              </w:rPr>
              <w:t>图</w:t>
            </w:r>
            <w:r>
              <w:rPr>
                <w:rFonts w:hint="eastAsia"/>
                <w:sz w:val="24"/>
              </w:rPr>
              <w:t>10</w:t>
            </w:r>
            <w:r>
              <w:rPr>
                <w:rFonts w:hint="eastAsia"/>
                <w:sz w:val="24"/>
              </w:rPr>
              <w:t>：（</w:t>
            </w:r>
            <w:r>
              <w:rPr>
                <w:rFonts w:hint="eastAsia"/>
                <w:sz w:val="24"/>
              </w:rPr>
              <w:t>a</w:t>
            </w:r>
            <w:r>
              <w:rPr>
                <w:rFonts w:hint="eastAsia"/>
                <w:sz w:val="24"/>
              </w:rPr>
              <w:t>）放缩点乘注意力机制（</w:t>
            </w:r>
            <w:r>
              <w:rPr>
                <w:rFonts w:hint="eastAsia"/>
                <w:sz w:val="24"/>
              </w:rPr>
              <w:t>S</w:t>
            </w:r>
            <w:r>
              <w:rPr>
                <w:sz w:val="24"/>
              </w:rPr>
              <w:t>caled Dot-Product Attention</w:t>
            </w:r>
            <w:r>
              <w:rPr>
                <w:rFonts w:hint="eastAsia"/>
                <w:sz w:val="24"/>
              </w:rPr>
              <w:t>）</w:t>
            </w:r>
          </w:p>
          <w:p w14:paraId="73A88257" w14:textId="77777777" w:rsidR="00E22223" w:rsidRDefault="00000000">
            <w:pPr>
              <w:ind w:rightChars="21" w:right="44"/>
              <w:jc w:val="center"/>
              <w:rPr>
                <w:sz w:val="24"/>
              </w:rPr>
            </w:pPr>
            <w:r>
              <w:rPr>
                <w:rFonts w:hint="eastAsia"/>
                <w:sz w:val="24"/>
              </w:rPr>
              <w:t>（</w:t>
            </w:r>
            <w:r>
              <w:rPr>
                <w:rFonts w:hint="eastAsia"/>
                <w:sz w:val="24"/>
              </w:rPr>
              <w:t>b</w:t>
            </w:r>
            <w:r>
              <w:rPr>
                <w:rFonts w:hint="eastAsia"/>
                <w:sz w:val="24"/>
              </w:rPr>
              <w:t>）多头注意力机制（</w:t>
            </w:r>
            <w:r>
              <w:rPr>
                <w:rFonts w:hint="eastAsia"/>
                <w:sz w:val="24"/>
              </w:rPr>
              <w:t>M</w:t>
            </w:r>
            <w:r>
              <w:rPr>
                <w:sz w:val="24"/>
              </w:rPr>
              <w:t>ulti-Head Attention</w:t>
            </w:r>
            <w:r>
              <w:rPr>
                <w:rFonts w:hint="eastAsia"/>
                <w:sz w:val="24"/>
              </w:rPr>
              <w:t>）</w:t>
            </w:r>
          </w:p>
          <w:p w14:paraId="229D4875" w14:textId="77777777" w:rsidR="00E22223" w:rsidRDefault="00E22223">
            <w:pPr>
              <w:snapToGrid w:val="0"/>
            </w:pPr>
          </w:p>
          <w:p w14:paraId="06F165EE" w14:textId="77777777" w:rsidR="00E22223" w:rsidRDefault="00000000">
            <w:pPr>
              <w:snapToGrid w:val="0"/>
              <w:ind w:rightChars="21" w:right="44" w:firstLineChars="202" w:firstLine="485"/>
              <w:rPr>
                <w:sz w:val="24"/>
              </w:rPr>
            </w:pPr>
            <w:r>
              <w:rPr>
                <w:rFonts w:hint="eastAsia"/>
                <w:sz w:val="24"/>
              </w:rPr>
              <w:t xml:space="preserve">Transformer </w:t>
            </w:r>
            <w:r>
              <w:rPr>
                <w:rFonts w:hint="eastAsia"/>
                <w:sz w:val="24"/>
              </w:rPr>
              <w:t>的全局性使每个子结构信息能够以更近的距离关注</w:t>
            </w:r>
            <w:r>
              <w:rPr>
                <w:rFonts w:hint="eastAsia"/>
                <w:sz w:val="24"/>
              </w:rPr>
              <w:t xml:space="preserve"> Transformer </w:t>
            </w:r>
            <w:r>
              <w:rPr>
                <w:rFonts w:hint="eastAsia"/>
                <w:sz w:val="24"/>
              </w:rPr>
              <w:t>层中任何位置的信息。同时，</w:t>
            </w:r>
            <w:r>
              <w:rPr>
                <w:sz w:val="24"/>
              </w:rPr>
              <w:t>Transformer</w:t>
            </w:r>
            <w:r>
              <w:rPr>
                <w:rFonts w:hint="eastAsia"/>
                <w:sz w:val="24"/>
              </w:rPr>
              <w:t>具有很高的并行性。</w:t>
            </w:r>
          </w:p>
          <w:p w14:paraId="75E0227D" w14:textId="77777777" w:rsidR="00E22223" w:rsidRDefault="00E22223">
            <w:pPr>
              <w:snapToGrid w:val="0"/>
              <w:ind w:rightChars="21" w:right="44"/>
              <w:rPr>
                <w:sz w:val="24"/>
              </w:rPr>
            </w:pPr>
          </w:p>
          <w:p w14:paraId="32981D1B" w14:textId="77777777" w:rsidR="00E22223" w:rsidRDefault="00000000">
            <w:pPr>
              <w:pStyle w:val="dachuang3"/>
            </w:pPr>
            <w:r>
              <w:rPr>
                <w:rFonts w:hint="eastAsia"/>
              </w:rPr>
              <w:t>药物</w:t>
            </w:r>
            <w:r>
              <w:rPr>
                <w:rFonts w:hint="eastAsia"/>
              </w:rPr>
              <w:t>-</w:t>
            </w:r>
            <w:r>
              <w:rPr>
                <w:rFonts w:hint="eastAsia"/>
              </w:rPr>
              <w:t>靶点生物信息异构网络</w:t>
            </w:r>
          </w:p>
          <w:p w14:paraId="10A16CDA" w14:textId="77777777" w:rsidR="00E22223" w:rsidRDefault="00000000">
            <w:pPr>
              <w:snapToGrid w:val="0"/>
              <w:ind w:rightChars="21" w:right="44"/>
              <w:rPr>
                <w:b/>
                <w:bCs/>
                <w:sz w:val="24"/>
              </w:rPr>
            </w:pPr>
            <w:r>
              <w:rPr>
                <w:rFonts w:hint="eastAsia"/>
                <w:b/>
                <w:bCs/>
                <w:sz w:val="24"/>
              </w:rPr>
              <w:t>3.1</w:t>
            </w:r>
            <w:r>
              <w:rPr>
                <w:b/>
                <w:bCs/>
                <w:sz w:val="24"/>
              </w:rPr>
              <w:t xml:space="preserve"> </w:t>
            </w:r>
            <w:r>
              <w:rPr>
                <w:rFonts w:hint="eastAsia"/>
                <w:b/>
                <w:bCs/>
                <w:sz w:val="24"/>
              </w:rPr>
              <w:t>异构网络构建</w:t>
            </w:r>
          </w:p>
          <w:p w14:paraId="1BD9AB15" w14:textId="77777777" w:rsidR="00E22223" w:rsidRDefault="00000000">
            <w:pPr>
              <w:snapToGrid w:val="0"/>
              <w:ind w:rightChars="21" w:right="44" w:firstLineChars="200" w:firstLine="480"/>
              <w:rPr>
                <w:sz w:val="24"/>
              </w:rPr>
            </w:pPr>
            <w:r>
              <w:rPr>
                <w:rFonts w:hint="eastAsia"/>
                <w:sz w:val="24"/>
              </w:rPr>
              <w:t>将具体的实体看作网络图结构中的节点，实体之间的复杂的关系看作是节点间的互作用关系，即为网络图中的边，这样实体对象就可以称为信息网络。异构信息网络是一种特殊的信息网络，其包含了多种类型节点或多种类型的边。</w:t>
            </w:r>
          </w:p>
          <w:p w14:paraId="08850DD6" w14:textId="77777777" w:rsidR="00E22223" w:rsidRDefault="00000000">
            <w:pPr>
              <w:snapToGrid w:val="0"/>
              <w:ind w:rightChars="21" w:right="44" w:firstLineChars="200" w:firstLine="480"/>
              <w:rPr>
                <w:sz w:val="24"/>
              </w:rPr>
            </w:pPr>
            <w:r>
              <w:rPr>
                <w:rFonts w:hint="eastAsia"/>
                <w:sz w:val="24"/>
              </w:rPr>
              <w:t>一个信息网络可以定义为一个图</w:t>
            </w:r>
            <w:r>
              <w:rPr>
                <w:rFonts w:ascii="Cambria Math" w:hAnsi="Cambria Math" w:cs="Cambria Math"/>
                <w:sz w:val="24"/>
              </w:rPr>
              <w:t>𝐺</w:t>
            </w:r>
            <w:r>
              <w:rPr>
                <w:rFonts w:hint="eastAsia"/>
                <w:sz w:val="24"/>
              </w:rPr>
              <w:t xml:space="preserve"> =</w:t>
            </w:r>
            <w:r>
              <w:rPr>
                <w:sz w:val="24"/>
              </w:rPr>
              <w:t xml:space="preserve"> </w:t>
            </w:r>
            <w:r>
              <w:rPr>
                <w:sz w:val="24"/>
              </w:rPr>
              <w:t>（</w:t>
            </w:r>
            <w:r>
              <w:rPr>
                <w:rFonts w:ascii="Cambria Math" w:hAnsi="Cambria Math" w:cs="Cambria Math"/>
                <w:sz w:val="24"/>
              </w:rPr>
              <w:t>𝑉</w:t>
            </w:r>
            <w:r>
              <w:rPr>
                <w:sz w:val="24"/>
              </w:rPr>
              <w:t xml:space="preserve">, </w:t>
            </w:r>
            <w:r>
              <w:rPr>
                <w:rFonts w:ascii="Cambria Math" w:hAnsi="Cambria Math" w:cs="Cambria Math"/>
                <w:sz w:val="24"/>
              </w:rPr>
              <w:t>𝐸</w:t>
            </w:r>
            <w:r>
              <w:rPr>
                <w:sz w:val="24"/>
              </w:rPr>
              <w:t>）</w:t>
            </w:r>
            <w:r>
              <w:rPr>
                <w:rFonts w:hint="eastAsia"/>
                <w:sz w:val="24"/>
              </w:rPr>
              <w:t>，其中</w:t>
            </w:r>
            <w:r>
              <w:rPr>
                <w:rFonts w:ascii="Cambria Math" w:hAnsi="Cambria Math" w:cs="Cambria Math"/>
                <w:sz w:val="24"/>
              </w:rPr>
              <w:t>𝑉</w:t>
            </w:r>
            <w:r>
              <w:rPr>
                <w:rFonts w:hint="eastAsia"/>
                <w:sz w:val="24"/>
              </w:rPr>
              <w:t>代表图</w:t>
            </w:r>
            <w:r>
              <w:rPr>
                <w:rFonts w:ascii="Cambria Math" w:hAnsi="Cambria Math" w:cs="Cambria Math"/>
                <w:sz w:val="24"/>
              </w:rPr>
              <w:t>𝐺</w:t>
            </w:r>
            <w:r>
              <w:rPr>
                <w:rFonts w:hint="eastAsia"/>
                <w:sz w:val="24"/>
              </w:rPr>
              <w:t>中的节点集，</w:t>
            </w:r>
            <w:r>
              <w:rPr>
                <w:rFonts w:ascii="Cambria Math" w:hAnsi="Cambria Math" w:cs="Cambria Math"/>
                <w:sz w:val="24"/>
              </w:rPr>
              <w:t>𝐸</w:t>
            </w:r>
            <w:r>
              <w:rPr>
                <w:rFonts w:hint="eastAsia"/>
                <w:sz w:val="24"/>
              </w:rPr>
              <w:t>表示图</w:t>
            </w:r>
            <w:r>
              <w:rPr>
                <w:rFonts w:ascii="Cambria Math" w:hAnsi="Cambria Math" w:cs="Cambria Math"/>
                <w:sz w:val="24"/>
              </w:rPr>
              <w:t>𝐺</w:t>
            </w:r>
            <w:r>
              <w:rPr>
                <w:rFonts w:hint="eastAsia"/>
                <w:sz w:val="24"/>
              </w:rPr>
              <w:t>中的边集合。运用映射函数</w:t>
            </w:r>
            <w:r>
              <w:rPr>
                <w:rFonts w:ascii="Cambria Math" w:hAnsi="Cambria Math" w:cs="Cambria Math"/>
                <w:sz w:val="24"/>
              </w:rPr>
              <w:t>𝜑</w:t>
            </w:r>
            <w:r>
              <w:rPr>
                <w:rFonts w:hint="eastAsia"/>
                <w:sz w:val="24"/>
              </w:rPr>
              <w:t xml:space="preserve">: </w:t>
            </w:r>
            <w:r>
              <w:rPr>
                <w:rFonts w:ascii="Cambria Math" w:hAnsi="Cambria Math" w:cs="Cambria Math"/>
                <w:sz w:val="24"/>
              </w:rPr>
              <w:t>𝑉</w:t>
            </w:r>
            <w:r>
              <w:rPr>
                <w:rFonts w:hint="eastAsia"/>
                <w:sz w:val="24"/>
              </w:rPr>
              <w:t xml:space="preserve"> </w:t>
            </w:r>
            <w:r>
              <w:rPr>
                <w:rFonts w:hint="eastAsia"/>
                <w:sz w:val="24"/>
              </w:rPr>
              <w:t>→</w:t>
            </w:r>
            <w:r>
              <w:rPr>
                <w:rFonts w:hint="eastAsia"/>
                <w:sz w:val="24"/>
              </w:rPr>
              <w:t xml:space="preserve"> </w:t>
            </w:r>
            <w:r>
              <w:rPr>
                <w:rFonts w:ascii="Cambria Math" w:hAnsi="Cambria Math" w:cs="Cambria Math"/>
                <w:sz w:val="24"/>
              </w:rPr>
              <w:t>𝐴</w:t>
            </w:r>
            <w:r>
              <w:rPr>
                <w:rFonts w:hint="eastAsia"/>
                <w:sz w:val="24"/>
              </w:rPr>
              <w:t>来表示每一个节点</w:t>
            </w:r>
            <w:r>
              <w:rPr>
                <w:rFonts w:ascii="Cambria Math" w:hAnsi="Cambria Math" w:cs="Cambria Math"/>
                <w:sz w:val="24"/>
              </w:rPr>
              <w:t>𝑣</w:t>
            </w:r>
            <w:r>
              <w:rPr>
                <w:rFonts w:hint="eastAsia"/>
                <w:sz w:val="24"/>
              </w:rPr>
              <w:t xml:space="preserve"> </w:t>
            </w:r>
            <w:r>
              <w:rPr>
                <w:rFonts w:hint="eastAsia"/>
                <w:sz w:val="24"/>
              </w:rPr>
              <w:t>∈</w:t>
            </w:r>
            <w:r>
              <w:rPr>
                <w:rFonts w:hint="eastAsia"/>
                <w:sz w:val="24"/>
              </w:rPr>
              <w:t xml:space="preserve"> </w:t>
            </w:r>
            <w:r>
              <w:rPr>
                <w:rFonts w:ascii="Cambria Math" w:hAnsi="Cambria Math" w:cs="Cambria Math"/>
                <w:sz w:val="24"/>
              </w:rPr>
              <w:t>𝑉</w:t>
            </w:r>
            <w:r>
              <w:rPr>
                <w:rFonts w:hint="eastAsia"/>
                <w:sz w:val="24"/>
              </w:rPr>
              <w:t>的特定节点类型</w:t>
            </w:r>
            <w:r>
              <w:rPr>
                <w:rFonts w:ascii="Cambria Math" w:hAnsi="Cambria Math" w:cs="Cambria Math"/>
                <w:sz w:val="24"/>
              </w:rPr>
              <w:t>𝜑</w:t>
            </w:r>
            <w:r>
              <w:rPr>
                <w:rFonts w:hint="eastAsia"/>
                <w:sz w:val="24"/>
              </w:rPr>
              <w:t>（</w:t>
            </w:r>
            <w:r>
              <w:rPr>
                <w:rFonts w:ascii="Cambria Math" w:hAnsi="Cambria Math" w:cs="Cambria Math"/>
                <w:sz w:val="24"/>
              </w:rPr>
              <w:t>𝑣</w:t>
            </w:r>
            <w:r>
              <w:rPr>
                <w:rFonts w:hint="eastAsia"/>
                <w:sz w:val="24"/>
              </w:rPr>
              <w:t>）</w:t>
            </w:r>
            <w:r>
              <w:rPr>
                <w:rFonts w:hint="eastAsia"/>
                <w:sz w:val="24"/>
              </w:rPr>
              <w:t xml:space="preserve"> </w:t>
            </w:r>
            <w:r>
              <w:rPr>
                <w:rFonts w:hint="eastAsia"/>
                <w:sz w:val="24"/>
              </w:rPr>
              <w:t>∈</w:t>
            </w:r>
            <w:r>
              <w:rPr>
                <w:rFonts w:hint="eastAsia"/>
                <w:sz w:val="24"/>
              </w:rPr>
              <w:t xml:space="preserve"> </w:t>
            </w:r>
            <w:r>
              <w:rPr>
                <w:rFonts w:ascii="Cambria Math" w:hAnsi="Cambria Math" w:cs="Cambria Math"/>
                <w:sz w:val="24"/>
              </w:rPr>
              <w:t>𝐴</w:t>
            </w:r>
            <w:r>
              <w:rPr>
                <w:rFonts w:hint="eastAsia"/>
                <w:sz w:val="24"/>
              </w:rPr>
              <w:t xml:space="preserve"> </w:t>
            </w:r>
            <w:r>
              <w:rPr>
                <w:rFonts w:hint="eastAsia"/>
                <w:sz w:val="24"/>
              </w:rPr>
              <w:t>；同样，用映射函数</w:t>
            </w:r>
            <w:r>
              <w:rPr>
                <w:rFonts w:ascii="Cambria Math" w:hAnsi="Cambria Math" w:cs="Cambria Math"/>
                <w:sz w:val="24"/>
              </w:rPr>
              <w:t>𝜓</w:t>
            </w:r>
            <w:r>
              <w:rPr>
                <w:rFonts w:hint="eastAsia"/>
                <w:sz w:val="24"/>
              </w:rPr>
              <w:t xml:space="preserve">: </w:t>
            </w:r>
            <w:r>
              <w:rPr>
                <w:rFonts w:ascii="Cambria Math" w:hAnsi="Cambria Math" w:cs="Cambria Math"/>
                <w:sz w:val="24"/>
              </w:rPr>
              <w:t>𝐸</w:t>
            </w:r>
            <w:r>
              <w:rPr>
                <w:rFonts w:hint="eastAsia"/>
                <w:sz w:val="24"/>
              </w:rPr>
              <w:t xml:space="preserve"> </w:t>
            </w:r>
            <w:r>
              <w:rPr>
                <w:rFonts w:hint="eastAsia"/>
                <w:sz w:val="24"/>
              </w:rPr>
              <w:t>→</w:t>
            </w:r>
            <w:r>
              <w:rPr>
                <w:rFonts w:hint="eastAsia"/>
                <w:sz w:val="24"/>
              </w:rPr>
              <w:t xml:space="preserve"> </w:t>
            </w:r>
            <w:r>
              <w:rPr>
                <w:rFonts w:ascii="Cambria Math" w:hAnsi="Cambria Math" w:cs="Cambria Math"/>
                <w:sz w:val="24"/>
              </w:rPr>
              <w:t>𝑅</w:t>
            </w:r>
            <w:r>
              <w:rPr>
                <w:rFonts w:hint="eastAsia"/>
                <w:sz w:val="24"/>
              </w:rPr>
              <w:t>来表示图中每条边</w:t>
            </w:r>
            <w:r>
              <w:rPr>
                <w:rFonts w:ascii="Cambria Math" w:hAnsi="Cambria Math" w:cs="Cambria Math"/>
                <w:sz w:val="24"/>
              </w:rPr>
              <w:t>𝑒</w:t>
            </w:r>
            <w:r>
              <w:rPr>
                <w:rFonts w:hint="eastAsia"/>
                <w:sz w:val="24"/>
              </w:rPr>
              <w:t xml:space="preserve"> </w:t>
            </w:r>
            <w:r>
              <w:rPr>
                <w:rFonts w:hint="eastAsia"/>
                <w:sz w:val="24"/>
              </w:rPr>
              <w:t>∈</w:t>
            </w:r>
            <w:r>
              <w:rPr>
                <w:rFonts w:hint="eastAsia"/>
                <w:sz w:val="24"/>
              </w:rPr>
              <w:t xml:space="preserve"> </w:t>
            </w:r>
            <w:r>
              <w:rPr>
                <w:rFonts w:ascii="Cambria Math" w:hAnsi="Cambria Math" w:cs="Cambria Math"/>
                <w:sz w:val="24"/>
              </w:rPr>
              <w:t>𝐸</w:t>
            </w:r>
            <w:r>
              <w:rPr>
                <w:rFonts w:hint="eastAsia"/>
                <w:sz w:val="24"/>
              </w:rPr>
              <w:t>的特定边的类型</w:t>
            </w:r>
            <w:r>
              <w:rPr>
                <w:rFonts w:ascii="Cambria Math" w:hAnsi="Cambria Math" w:cs="Cambria Math"/>
                <w:sz w:val="24"/>
              </w:rPr>
              <w:t>𝜓</w:t>
            </w:r>
            <w:r>
              <w:rPr>
                <w:rFonts w:hint="eastAsia"/>
                <w:sz w:val="24"/>
              </w:rPr>
              <w:t>（</w:t>
            </w:r>
            <w:r>
              <w:rPr>
                <w:rFonts w:ascii="Cambria Math" w:hAnsi="Cambria Math" w:cs="Cambria Math"/>
                <w:sz w:val="24"/>
              </w:rPr>
              <w:t>𝑒</w:t>
            </w:r>
            <w:r>
              <w:rPr>
                <w:rFonts w:hint="eastAsia"/>
                <w:sz w:val="24"/>
              </w:rPr>
              <w:t>）</w:t>
            </w:r>
            <w:r>
              <w:rPr>
                <w:rFonts w:hint="eastAsia"/>
                <w:sz w:val="24"/>
              </w:rPr>
              <w:t xml:space="preserve"> </w:t>
            </w:r>
            <w:r>
              <w:rPr>
                <w:rFonts w:hint="eastAsia"/>
                <w:sz w:val="24"/>
              </w:rPr>
              <w:t>∈</w:t>
            </w:r>
            <w:r>
              <w:rPr>
                <w:rFonts w:hint="eastAsia"/>
                <w:sz w:val="24"/>
              </w:rPr>
              <w:t xml:space="preserve"> </w:t>
            </w:r>
            <w:r>
              <w:rPr>
                <w:rFonts w:ascii="Cambria Math" w:hAnsi="Cambria Math" w:cs="Cambria Math"/>
                <w:sz w:val="24"/>
              </w:rPr>
              <w:t>𝑅</w:t>
            </w:r>
            <w:r>
              <w:rPr>
                <w:rFonts w:hint="eastAsia"/>
                <w:sz w:val="24"/>
              </w:rPr>
              <w:t>。相应的，若在信息网络图</w:t>
            </w:r>
            <w:r>
              <w:rPr>
                <w:rFonts w:ascii="Cambria Math" w:hAnsi="Cambria Math" w:cs="Cambria Math"/>
                <w:sz w:val="24"/>
              </w:rPr>
              <w:t>𝐺</w:t>
            </w:r>
            <w:r>
              <w:rPr>
                <w:rFonts w:hint="eastAsia"/>
                <w:sz w:val="24"/>
              </w:rPr>
              <w:t>中节点的类型</w:t>
            </w:r>
            <w:r>
              <w:rPr>
                <w:rFonts w:hint="eastAsia"/>
                <w:sz w:val="24"/>
              </w:rPr>
              <w:t>|</w:t>
            </w:r>
            <w:r>
              <w:rPr>
                <w:rFonts w:ascii="Cambria Math" w:hAnsi="Cambria Math" w:cs="Cambria Math"/>
                <w:sz w:val="24"/>
              </w:rPr>
              <w:t>𝐴</w:t>
            </w:r>
            <w:r>
              <w:rPr>
                <w:rFonts w:hint="eastAsia"/>
                <w:sz w:val="24"/>
              </w:rPr>
              <w:t>| &gt; 1</w:t>
            </w:r>
            <w:r>
              <w:rPr>
                <w:rFonts w:hint="eastAsia"/>
                <w:sz w:val="24"/>
              </w:rPr>
              <w:t>或节点间边的类型</w:t>
            </w:r>
            <w:r>
              <w:rPr>
                <w:rFonts w:hint="eastAsia"/>
                <w:sz w:val="24"/>
              </w:rPr>
              <w:t>|</w:t>
            </w:r>
            <w:r>
              <w:rPr>
                <w:rFonts w:ascii="Cambria Math" w:hAnsi="Cambria Math" w:cs="Cambria Math"/>
                <w:sz w:val="24"/>
              </w:rPr>
              <w:t>𝑅</w:t>
            </w:r>
            <w:r>
              <w:rPr>
                <w:rFonts w:hint="eastAsia"/>
                <w:sz w:val="24"/>
              </w:rPr>
              <w:t xml:space="preserve">| &gt; 1 </w:t>
            </w:r>
            <w:r>
              <w:rPr>
                <w:rFonts w:hint="eastAsia"/>
                <w:sz w:val="24"/>
              </w:rPr>
              <w:t>，这样的网络便称为异构信息网络。反之，这样的网络就称为同构信息网络。</w:t>
            </w:r>
          </w:p>
          <w:p w14:paraId="73708FF9" w14:textId="77777777" w:rsidR="00E22223" w:rsidRDefault="00000000">
            <w:pPr>
              <w:snapToGrid w:val="0"/>
              <w:ind w:rightChars="21" w:right="44"/>
              <w:rPr>
                <w:sz w:val="24"/>
              </w:rPr>
            </w:pPr>
            <w:r>
              <w:rPr>
                <w:rFonts w:hint="eastAsia"/>
                <w:sz w:val="24"/>
              </w:rPr>
              <w:t>以本文所研究的药物</w:t>
            </w:r>
            <w:r>
              <w:rPr>
                <w:sz w:val="24"/>
              </w:rPr>
              <w:t>-</w:t>
            </w:r>
            <w:r>
              <w:rPr>
                <w:rFonts w:hint="eastAsia"/>
                <w:sz w:val="24"/>
              </w:rPr>
              <w:t>靶点异构网络为例，下图介绍了一个简略的药物</w:t>
            </w:r>
            <w:r>
              <w:rPr>
                <w:sz w:val="24"/>
              </w:rPr>
              <w:t>-</w:t>
            </w:r>
            <w:r>
              <w:rPr>
                <w:rFonts w:hint="eastAsia"/>
                <w:sz w:val="24"/>
              </w:rPr>
              <w:t>靶点异构网络，该异构网络包含三种类型的节点，分别是药物、靶点、疾病。其还包含两种类型的边，分别是药物</w:t>
            </w:r>
            <w:r>
              <w:rPr>
                <w:sz w:val="24"/>
              </w:rPr>
              <w:t>-</w:t>
            </w:r>
            <w:r>
              <w:rPr>
                <w:rFonts w:hint="eastAsia"/>
                <w:sz w:val="24"/>
              </w:rPr>
              <w:t>靶点的互作用关系，药物</w:t>
            </w:r>
            <w:r>
              <w:rPr>
                <w:sz w:val="24"/>
              </w:rPr>
              <w:t>-</w:t>
            </w:r>
            <w:r>
              <w:rPr>
                <w:rFonts w:hint="eastAsia"/>
                <w:sz w:val="24"/>
              </w:rPr>
              <w:t>疾病的关联关系。在异构网络中，不同类型的节点通过代表不同语义路径的边连接，这样的路径通常称为元路径。假设一个异构信息网络图</w:t>
            </w:r>
            <w:r>
              <w:rPr>
                <w:rFonts w:ascii="Cambria Math" w:hAnsi="Cambria Math" w:cs="Cambria Math"/>
                <w:sz w:val="24"/>
              </w:rPr>
              <w:t>𝐺</w:t>
            </w:r>
            <w:r>
              <w:rPr>
                <w:rFonts w:hint="eastAsia"/>
                <w:sz w:val="24"/>
              </w:rPr>
              <w:t xml:space="preserve"> = </w:t>
            </w:r>
            <w:r>
              <w:rPr>
                <w:rFonts w:hint="eastAsia"/>
                <w:sz w:val="24"/>
              </w:rPr>
              <w:t>（</w:t>
            </w:r>
            <w:r>
              <w:rPr>
                <w:rFonts w:ascii="Cambria Math" w:hAnsi="Cambria Math" w:cs="Cambria Math"/>
                <w:sz w:val="24"/>
              </w:rPr>
              <w:t>𝑉</w:t>
            </w:r>
            <w:r>
              <w:rPr>
                <w:rFonts w:hint="eastAsia"/>
                <w:sz w:val="24"/>
              </w:rPr>
              <w:t xml:space="preserve">, </w:t>
            </w:r>
            <w:r>
              <w:rPr>
                <w:rFonts w:ascii="Cambria Math" w:hAnsi="Cambria Math" w:cs="Cambria Math"/>
                <w:sz w:val="24"/>
              </w:rPr>
              <w:t>𝐸</w:t>
            </w:r>
            <w:r>
              <w:rPr>
                <w:rFonts w:hint="eastAsia"/>
                <w:sz w:val="24"/>
              </w:rPr>
              <w:t>），其节点类型和边的类型分别表示为</w:t>
            </w:r>
            <w:r>
              <w:rPr>
                <w:rFonts w:ascii="Cambria Math" w:hAnsi="Cambria Math" w:cs="Cambria Math"/>
                <w:sz w:val="24"/>
              </w:rPr>
              <w:t>𝐴</w:t>
            </w:r>
            <w:r>
              <w:rPr>
                <w:rFonts w:hint="eastAsia"/>
                <w:sz w:val="24"/>
              </w:rPr>
              <w:t>和</w:t>
            </w:r>
            <w:r>
              <w:rPr>
                <w:rFonts w:ascii="Cambria Math" w:hAnsi="Cambria Math" w:cs="Cambria Math"/>
                <w:sz w:val="24"/>
              </w:rPr>
              <w:t>𝐸</w:t>
            </w:r>
            <w:r>
              <w:rPr>
                <w:rFonts w:hint="eastAsia"/>
                <w:sz w:val="24"/>
              </w:rPr>
              <w:t>。异构网络中的一条元路径</w:t>
            </w:r>
            <w:r>
              <w:rPr>
                <w:sz w:val="24"/>
              </w:rPr>
              <w:t xml:space="preserve"> ϕ</w:t>
            </w:r>
            <w:r>
              <w:rPr>
                <w:rFonts w:hint="eastAsia"/>
                <w:sz w:val="24"/>
              </w:rPr>
              <w:t>可以定义为：</w:t>
            </w:r>
          </w:p>
          <w:p w14:paraId="40503D5E" w14:textId="77777777" w:rsidR="00E22223" w:rsidRDefault="00000000">
            <w:pPr>
              <w:snapToGrid w:val="0"/>
              <w:ind w:rightChars="21" w:right="44"/>
              <w:jc w:val="center"/>
              <w:rPr>
                <w:sz w:val="24"/>
              </w:rPr>
            </w:pPr>
            <w:r>
              <w:rPr>
                <w:position w:val="-12"/>
                <w:sz w:val="24"/>
              </w:rPr>
              <w:object w:dxaOrig="2429" w:dyaOrig="528" w14:anchorId="793004C3">
                <v:shape id="_x0000_i1041" type="#_x0000_t75" style="width:121.45pt;height:26.4pt" o:ole="">
                  <v:imagedata r:id="rId50" o:title=""/>
                </v:shape>
                <o:OLEObject Type="Embed" ProgID="Equation.AxMath" ShapeID="_x0000_i1041" DrawAspect="Content" ObjectID="_1730276145" r:id="rId51"/>
              </w:object>
            </w:r>
          </w:p>
          <w:p w14:paraId="614F0701" w14:textId="77777777" w:rsidR="00E22223" w:rsidRDefault="00000000">
            <w:pPr>
              <w:snapToGrid w:val="0"/>
              <w:ind w:rightChars="21" w:right="44"/>
              <w:rPr>
                <w:sz w:val="24"/>
              </w:rPr>
            </w:pPr>
            <w:r>
              <w:rPr>
                <w:rFonts w:hint="eastAsia"/>
                <w:sz w:val="24"/>
              </w:rPr>
              <w:t>可以简单地表示为</w:t>
            </w:r>
            <w:r>
              <w:rPr>
                <w:position w:val="-12"/>
                <w:sz w:val="24"/>
              </w:rPr>
              <w:object w:dxaOrig="1715" w:dyaOrig="363" w14:anchorId="42339CDC">
                <v:shape id="_x0000_i1042" type="#_x0000_t75" style="width:85.75pt;height:18.15pt" o:ole="">
                  <v:imagedata r:id="rId52" o:title=""/>
                </v:shape>
                <o:OLEObject Type="Embed" ProgID="Equation.AxMath" ShapeID="_x0000_i1042" DrawAspect="Content" ObjectID="_1730276146" r:id="rId53"/>
              </w:object>
            </w:r>
            <w:r>
              <w:rPr>
                <w:rFonts w:hint="eastAsia"/>
                <w:sz w:val="24"/>
              </w:rPr>
              <w:t>，复合关系</w:t>
            </w:r>
            <w:r>
              <w:rPr>
                <w:position w:val="-12"/>
                <w:sz w:val="24"/>
              </w:rPr>
              <w:object w:dxaOrig="1825" w:dyaOrig="363" w14:anchorId="51156CAD">
                <v:shape id="_x0000_i1043" type="#_x0000_t75" style="width:91.25pt;height:18.15pt" o:ole="">
                  <v:imagedata r:id="rId54" o:title=""/>
                </v:shape>
                <o:OLEObject Type="Embed" ProgID="Equation.AxMath" ShapeID="_x0000_i1043" DrawAspect="Content" ObjectID="_1730276147" r:id="rId55"/>
              </w:object>
            </w:r>
            <w:r>
              <w:rPr>
                <w:rFonts w:hint="eastAsia"/>
                <w:sz w:val="24"/>
              </w:rPr>
              <w:t>。如下图所示，两个药物可以通过多个元路径连接，例如药物</w:t>
            </w:r>
            <w:r>
              <w:rPr>
                <w:rFonts w:hint="eastAsia"/>
                <w:sz w:val="24"/>
              </w:rPr>
              <w:t>-</w:t>
            </w:r>
            <w:r>
              <w:rPr>
                <w:rFonts w:hint="eastAsia"/>
                <w:sz w:val="24"/>
              </w:rPr>
              <w:t>疾病</w:t>
            </w:r>
            <w:r>
              <w:rPr>
                <w:rFonts w:hint="eastAsia"/>
                <w:sz w:val="24"/>
              </w:rPr>
              <w:t>-</w:t>
            </w:r>
            <w:r>
              <w:rPr>
                <w:rFonts w:hint="eastAsia"/>
                <w:sz w:val="24"/>
              </w:rPr>
              <w:t>药物和药物</w:t>
            </w:r>
            <w:r>
              <w:rPr>
                <w:rFonts w:hint="eastAsia"/>
                <w:sz w:val="24"/>
              </w:rPr>
              <w:t>-</w:t>
            </w:r>
            <w:r>
              <w:rPr>
                <w:rFonts w:hint="eastAsia"/>
                <w:sz w:val="24"/>
              </w:rPr>
              <w:t>靶点</w:t>
            </w:r>
            <w:r>
              <w:rPr>
                <w:rFonts w:hint="eastAsia"/>
                <w:sz w:val="24"/>
              </w:rPr>
              <w:t>-</w:t>
            </w:r>
            <w:r>
              <w:rPr>
                <w:rFonts w:hint="eastAsia"/>
                <w:sz w:val="24"/>
              </w:rPr>
              <w:t>药物。不同的元路径代表不同的语义信息。给定一个元路径</w:t>
            </w:r>
            <w:r>
              <w:rPr>
                <w:sz w:val="24"/>
              </w:rPr>
              <w:t>ϕ</w:t>
            </w:r>
            <w:r>
              <w:rPr>
                <w:rFonts w:hint="eastAsia"/>
                <w:sz w:val="24"/>
              </w:rPr>
              <w:t>，每个节点存在一组基于元路径的邻居，这些邻居可以在异构图中揭示各种结构信息和丰富的语</w:t>
            </w:r>
            <w:r>
              <w:rPr>
                <w:rFonts w:hint="eastAsia"/>
                <w:sz w:val="24"/>
              </w:rPr>
              <w:lastRenderedPageBreak/>
              <w:t>义信息。在异构信息网络中给定一个节点</w:t>
            </w:r>
            <w:r>
              <w:rPr>
                <w:rFonts w:ascii="Cambria Math" w:hAnsi="Cambria Math" w:cs="Cambria Math"/>
                <w:sz w:val="24"/>
              </w:rPr>
              <w:t>𝑖</w:t>
            </w:r>
            <w:r>
              <w:rPr>
                <w:rFonts w:hint="eastAsia"/>
                <w:sz w:val="24"/>
              </w:rPr>
              <w:t>和元路径</w:t>
            </w:r>
            <w:r>
              <w:rPr>
                <w:sz w:val="24"/>
              </w:rPr>
              <w:t>ϕ</w:t>
            </w:r>
            <w:r>
              <w:rPr>
                <w:rFonts w:hint="eastAsia"/>
                <w:sz w:val="24"/>
              </w:rPr>
              <w:t>，节点</w:t>
            </w:r>
            <w:r>
              <w:rPr>
                <w:rFonts w:ascii="Cambria Math" w:hAnsi="Cambria Math" w:cs="Cambria Math"/>
                <w:sz w:val="24"/>
              </w:rPr>
              <w:t>𝑖</w:t>
            </w:r>
            <w:r>
              <w:rPr>
                <w:rFonts w:hint="eastAsia"/>
                <w:sz w:val="24"/>
              </w:rPr>
              <w:t>的基于元路径的邻居</w:t>
            </w:r>
            <w:r>
              <w:rPr>
                <w:rFonts w:ascii="Cambria Math" w:hAnsi="Cambria Math" w:cs="Cambria Math"/>
                <w:position w:val="-12"/>
                <w:sz w:val="24"/>
              </w:rPr>
              <w:object w:dxaOrig="418" w:dyaOrig="363" w14:anchorId="3DF71100">
                <v:shape id="_x0000_i1044" type="#_x0000_t75" style="width:20.9pt;height:18.15pt" o:ole="">
                  <v:imagedata r:id="rId56" o:title=""/>
                </v:shape>
                <o:OLEObject Type="Embed" ProgID="Equation.AxMath" ShapeID="_x0000_i1044" DrawAspect="Content" ObjectID="_1730276148" r:id="rId57"/>
              </w:object>
            </w:r>
            <w:r>
              <w:rPr>
                <w:rFonts w:hint="eastAsia"/>
                <w:sz w:val="24"/>
              </w:rPr>
              <w:t>定义为通过元路径</w:t>
            </w:r>
            <w:r>
              <w:rPr>
                <w:sz w:val="24"/>
              </w:rPr>
              <w:t>ϕ</w:t>
            </w:r>
            <w:r>
              <w:rPr>
                <w:rFonts w:hint="eastAsia"/>
                <w:sz w:val="24"/>
              </w:rPr>
              <w:t>与节点</w:t>
            </w:r>
            <w:r>
              <w:rPr>
                <w:rFonts w:ascii="Cambria Math" w:hAnsi="Cambria Math" w:cs="Cambria Math"/>
                <w:sz w:val="24"/>
              </w:rPr>
              <w:t>𝑖</w:t>
            </w:r>
            <w:r>
              <w:rPr>
                <w:sz w:val="24"/>
              </w:rPr>
              <w:t xml:space="preserve"> </w:t>
            </w:r>
            <w:r>
              <w:rPr>
                <w:rFonts w:hint="eastAsia"/>
                <w:sz w:val="24"/>
              </w:rPr>
              <w:t>连接的节点的集合。其中节点</w:t>
            </w:r>
            <w:r>
              <w:rPr>
                <w:rFonts w:ascii="Cambria Math" w:hAnsi="Cambria Math" w:cs="Cambria Math"/>
                <w:sz w:val="24"/>
              </w:rPr>
              <w:t>𝑖</w:t>
            </w:r>
            <w:r>
              <w:rPr>
                <w:rFonts w:hint="eastAsia"/>
                <w:sz w:val="24"/>
              </w:rPr>
              <w:t>的邻居包含其节点本身。</w:t>
            </w:r>
            <w:r>
              <w:rPr>
                <w:rFonts w:hint="eastAsia"/>
                <w:sz w:val="24"/>
              </w:rPr>
              <w:t xml:space="preserve"> </w:t>
            </w:r>
            <w:r>
              <w:rPr>
                <w:rFonts w:hint="eastAsia"/>
                <w:sz w:val="24"/>
              </w:rPr>
              <w:t>以下图为例，在给定元路径药物</w:t>
            </w:r>
            <w:r>
              <w:rPr>
                <w:rFonts w:hint="eastAsia"/>
                <w:sz w:val="24"/>
              </w:rPr>
              <w:t>-</w:t>
            </w:r>
            <w:r>
              <w:rPr>
                <w:rFonts w:hint="eastAsia"/>
                <w:sz w:val="24"/>
              </w:rPr>
              <w:t>靶点</w:t>
            </w:r>
            <w:r>
              <w:rPr>
                <w:rFonts w:hint="eastAsia"/>
                <w:sz w:val="24"/>
              </w:rPr>
              <w:t>-</w:t>
            </w:r>
            <w:r>
              <w:rPr>
                <w:rFonts w:hint="eastAsia"/>
                <w:sz w:val="24"/>
              </w:rPr>
              <w:t>药物的情况下，基于该元路径的</w:t>
            </w:r>
            <w:r>
              <w:rPr>
                <w:rFonts w:hint="eastAsia"/>
                <w:sz w:val="24"/>
              </w:rPr>
              <w:t>dr1</w:t>
            </w:r>
            <w:r>
              <w:rPr>
                <w:rFonts w:hint="eastAsia"/>
                <w:sz w:val="24"/>
              </w:rPr>
              <w:t>的邻居包括</w:t>
            </w:r>
            <w:r>
              <w:rPr>
                <w:rFonts w:hint="eastAsia"/>
                <w:sz w:val="24"/>
              </w:rPr>
              <w:t>dr1</w:t>
            </w:r>
            <w:r>
              <w:rPr>
                <w:rFonts w:hint="eastAsia"/>
                <w:sz w:val="24"/>
              </w:rPr>
              <w:t>，</w:t>
            </w:r>
            <w:r>
              <w:rPr>
                <w:rFonts w:hint="eastAsia"/>
                <w:sz w:val="24"/>
              </w:rPr>
              <w:t>dr2</w:t>
            </w:r>
            <w:r>
              <w:rPr>
                <w:rFonts w:hint="eastAsia"/>
                <w:sz w:val="24"/>
              </w:rPr>
              <w:t>，</w:t>
            </w:r>
            <w:r>
              <w:rPr>
                <w:rFonts w:hint="eastAsia"/>
                <w:sz w:val="24"/>
              </w:rPr>
              <w:t>dr3</w:t>
            </w:r>
            <w:r>
              <w:rPr>
                <w:rFonts w:hint="eastAsia"/>
                <w:sz w:val="24"/>
              </w:rPr>
              <w:t>。显然，基于元路径的邻居可以利用异构图中的结构信息的不同方面。</w:t>
            </w:r>
          </w:p>
          <w:p w14:paraId="2FCC929F" w14:textId="77777777" w:rsidR="00E22223" w:rsidRDefault="00000000">
            <w:pPr>
              <w:snapToGrid w:val="0"/>
              <w:ind w:rightChars="21" w:right="44"/>
              <w:jc w:val="center"/>
              <w:rPr>
                <w:color w:val="FF0000"/>
                <w:sz w:val="24"/>
              </w:rPr>
            </w:pPr>
            <w:r>
              <w:rPr>
                <w:noProof/>
              </w:rPr>
              <w:drawing>
                <wp:inline distT="0" distB="0" distL="0" distR="0" wp14:anchorId="4A53F2E8" wp14:editId="119A9A2E">
                  <wp:extent cx="3016250" cy="166624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8"/>
                          <a:stretch>
                            <a:fillRect/>
                          </a:stretch>
                        </pic:blipFill>
                        <pic:spPr>
                          <a:xfrm>
                            <a:off x="0" y="0"/>
                            <a:ext cx="3043501" cy="1681063"/>
                          </a:xfrm>
                          <a:prstGeom prst="rect">
                            <a:avLst/>
                          </a:prstGeom>
                        </pic:spPr>
                      </pic:pic>
                    </a:graphicData>
                  </a:graphic>
                </wp:inline>
              </w:drawing>
            </w:r>
          </w:p>
          <w:p w14:paraId="5621AEC2" w14:textId="77777777" w:rsidR="00E22223" w:rsidRDefault="00000000">
            <w:pPr>
              <w:snapToGrid w:val="0"/>
              <w:ind w:rightChars="21" w:right="44"/>
              <w:jc w:val="center"/>
              <w:rPr>
                <w:sz w:val="24"/>
              </w:rPr>
            </w:pPr>
            <w:r>
              <w:rPr>
                <w:rFonts w:hint="eastAsia"/>
                <w:sz w:val="24"/>
              </w:rPr>
              <w:t>图</w:t>
            </w:r>
            <w:r>
              <w:rPr>
                <w:rFonts w:hint="eastAsia"/>
                <w:sz w:val="24"/>
              </w:rPr>
              <w:t>11</w:t>
            </w:r>
            <w:r>
              <w:rPr>
                <w:rFonts w:hint="eastAsia"/>
                <w:sz w:val="24"/>
              </w:rPr>
              <w:t>：简单异构信息网络示例图</w:t>
            </w:r>
          </w:p>
          <w:p w14:paraId="653A2FE0" w14:textId="77777777" w:rsidR="00E22223" w:rsidRDefault="00000000">
            <w:pPr>
              <w:snapToGrid w:val="0"/>
              <w:ind w:rightChars="21" w:right="44"/>
              <w:rPr>
                <w:sz w:val="24"/>
              </w:rPr>
            </w:pPr>
            <w:r>
              <w:rPr>
                <w:sz w:val="24"/>
              </w:rPr>
              <w:t xml:space="preserve"> </w:t>
            </w:r>
          </w:p>
          <w:p w14:paraId="044B97B2" w14:textId="77777777" w:rsidR="00E22223" w:rsidRDefault="00000000">
            <w:pPr>
              <w:snapToGrid w:val="0"/>
              <w:ind w:rightChars="21" w:right="44" w:firstLineChars="200" w:firstLine="480"/>
              <w:rPr>
                <w:sz w:val="24"/>
              </w:rPr>
            </w:pPr>
            <w:r>
              <w:rPr>
                <w:rFonts w:hint="eastAsia"/>
                <w:sz w:val="24"/>
              </w:rPr>
              <w:t>本模型中，图表示为</w:t>
            </w:r>
            <w:r>
              <w:rPr>
                <w:position w:val="-12"/>
                <w:sz w:val="24"/>
              </w:rPr>
              <w:object w:dxaOrig="1099" w:dyaOrig="374" w14:anchorId="73199FC3">
                <v:shape id="_x0000_i1045" type="#_x0000_t75" style="width:54.95pt;height:18.7pt" o:ole="">
                  <v:imagedata r:id="rId59" o:title=""/>
                </v:shape>
                <o:OLEObject Type="Embed" ProgID="Equation.AxMath" ShapeID="_x0000_i1045" DrawAspect="Content" ObjectID="_1730276149" r:id="rId60"/>
              </w:object>
            </w:r>
            <w:r>
              <w:rPr>
                <w:rFonts w:hint="eastAsia"/>
                <w:sz w:val="24"/>
              </w:rPr>
              <w:t>，其中</w:t>
            </w:r>
            <w:r>
              <w:rPr>
                <w:rFonts w:hint="eastAsia"/>
                <w:sz w:val="24"/>
              </w:rPr>
              <w:t>V</w:t>
            </w:r>
            <w:r>
              <w:rPr>
                <w:rFonts w:hint="eastAsia"/>
                <w:sz w:val="24"/>
              </w:rPr>
              <w:t>是节点集，</w:t>
            </w:r>
            <w:r>
              <w:rPr>
                <w:rFonts w:hint="eastAsia"/>
                <w:sz w:val="24"/>
              </w:rPr>
              <w:t>E</w:t>
            </w:r>
            <w:r>
              <w:rPr>
                <w:rFonts w:hint="eastAsia"/>
                <w:sz w:val="24"/>
              </w:rPr>
              <w:t>是边集。该模型中药物、靶点等被表示为节点，节点之间的相互作用或关联表示为边。因此，对象类型设置为</w:t>
            </w:r>
            <w:r>
              <w:rPr>
                <w:rFonts w:hint="eastAsia"/>
                <w:sz w:val="24"/>
              </w:rPr>
              <w:t>O</w:t>
            </w:r>
            <w:r>
              <w:rPr>
                <w:sz w:val="24"/>
              </w:rPr>
              <w:t xml:space="preserve"> [</w:t>
            </w:r>
            <w:r>
              <w:rPr>
                <w:rFonts w:hint="eastAsia"/>
                <w:sz w:val="24"/>
              </w:rPr>
              <w:t>药物、靶点、疾病、副作用</w:t>
            </w:r>
            <w:r>
              <w:rPr>
                <w:rFonts w:hint="eastAsia"/>
                <w:sz w:val="24"/>
              </w:rPr>
              <w:t>]</w:t>
            </w:r>
            <w:r>
              <w:rPr>
                <w:rFonts w:hint="eastAsia"/>
                <w:sz w:val="24"/>
              </w:rPr>
              <w:t>，共四种。由前述，我们把各节点用药物分子、靶蛋白的</w:t>
            </w:r>
            <w:r>
              <w:rPr>
                <w:rFonts w:hint="eastAsia"/>
                <w:sz w:val="24"/>
              </w:rPr>
              <w:t>Transformer</w:t>
            </w:r>
            <w:r>
              <w:rPr>
                <w:rFonts w:hint="eastAsia"/>
                <w:sz w:val="24"/>
              </w:rPr>
              <w:t>表示。关系类型集合</w:t>
            </w:r>
            <w:r>
              <w:rPr>
                <w:rFonts w:hint="eastAsia"/>
                <w:sz w:val="24"/>
              </w:rPr>
              <w:t>R</w:t>
            </w:r>
            <w:r>
              <w:rPr>
                <w:sz w:val="24"/>
              </w:rPr>
              <w:t>[</w:t>
            </w:r>
            <w:r>
              <w:rPr>
                <w:rFonts w:hint="eastAsia"/>
                <w:sz w:val="24"/>
              </w:rPr>
              <w:t>药物相互作用、药物结构相似性、药物</w:t>
            </w:r>
            <w:r>
              <w:rPr>
                <w:rFonts w:hint="eastAsia"/>
                <w:sz w:val="24"/>
              </w:rPr>
              <w:t>-</w:t>
            </w:r>
            <w:r>
              <w:rPr>
                <w:rFonts w:hint="eastAsia"/>
                <w:sz w:val="24"/>
              </w:rPr>
              <w:t>疾病关联、药物</w:t>
            </w:r>
            <w:r>
              <w:rPr>
                <w:rFonts w:hint="eastAsia"/>
                <w:sz w:val="24"/>
              </w:rPr>
              <w:t>-</w:t>
            </w:r>
            <w:r>
              <w:rPr>
                <w:rFonts w:hint="eastAsia"/>
                <w:sz w:val="24"/>
              </w:rPr>
              <w:t>副作用关联、疾病</w:t>
            </w:r>
            <w:r>
              <w:rPr>
                <w:rFonts w:hint="eastAsia"/>
                <w:sz w:val="24"/>
              </w:rPr>
              <w:t>-</w:t>
            </w:r>
            <w:r>
              <w:rPr>
                <w:rFonts w:hint="eastAsia"/>
                <w:sz w:val="24"/>
              </w:rPr>
              <w:t>药物关联、副作用</w:t>
            </w:r>
            <w:r>
              <w:rPr>
                <w:rFonts w:hint="eastAsia"/>
                <w:sz w:val="24"/>
              </w:rPr>
              <w:t>-</w:t>
            </w:r>
            <w:r>
              <w:rPr>
                <w:rFonts w:hint="eastAsia"/>
                <w:sz w:val="24"/>
              </w:rPr>
              <w:t>药物关联、药物</w:t>
            </w:r>
            <w:r>
              <w:rPr>
                <w:rFonts w:hint="eastAsia"/>
                <w:sz w:val="24"/>
              </w:rPr>
              <w:t>-</w:t>
            </w:r>
            <w:r>
              <w:rPr>
                <w:rFonts w:hint="eastAsia"/>
                <w:sz w:val="24"/>
              </w:rPr>
              <w:t>靶点相互作用、靶点</w:t>
            </w:r>
            <w:r>
              <w:rPr>
                <w:rFonts w:hint="eastAsia"/>
                <w:sz w:val="24"/>
              </w:rPr>
              <w:t>-</w:t>
            </w:r>
            <w:r>
              <w:rPr>
                <w:rFonts w:hint="eastAsia"/>
                <w:sz w:val="24"/>
              </w:rPr>
              <w:t>药物相互作用、靶点</w:t>
            </w:r>
            <w:r>
              <w:rPr>
                <w:rFonts w:hint="eastAsia"/>
                <w:sz w:val="24"/>
              </w:rPr>
              <w:t>-</w:t>
            </w:r>
            <w:r>
              <w:rPr>
                <w:rFonts w:hint="eastAsia"/>
                <w:sz w:val="24"/>
              </w:rPr>
              <w:t>靶点相互作用、靶点</w:t>
            </w:r>
            <w:r>
              <w:rPr>
                <w:rFonts w:hint="eastAsia"/>
                <w:sz w:val="24"/>
              </w:rPr>
              <w:t>-</w:t>
            </w:r>
            <w:r>
              <w:rPr>
                <w:rFonts w:hint="eastAsia"/>
                <w:sz w:val="24"/>
              </w:rPr>
              <w:t>靶点序列相似性、靶点</w:t>
            </w:r>
            <w:r>
              <w:rPr>
                <w:rFonts w:hint="eastAsia"/>
                <w:sz w:val="24"/>
              </w:rPr>
              <w:t>-</w:t>
            </w:r>
            <w:r>
              <w:rPr>
                <w:rFonts w:hint="eastAsia"/>
                <w:sz w:val="24"/>
              </w:rPr>
              <w:t>疾病关联、疾病</w:t>
            </w:r>
            <w:r>
              <w:rPr>
                <w:rFonts w:hint="eastAsia"/>
                <w:sz w:val="24"/>
              </w:rPr>
              <w:t>-</w:t>
            </w:r>
            <w:r>
              <w:rPr>
                <w:rFonts w:hint="eastAsia"/>
                <w:sz w:val="24"/>
              </w:rPr>
              <w:t>靶点关联</w:t>
            </w:r>
            <w:r>
              <w:rPr>
                <w:sz w:val="24"/>
              </w:rPr>
              <w:t>]</w:t>
            </w:r>
            <w:r>
              <w:rPr>
                <w:rFonts w:hint="eastAsia"/>
                <w:sz w:val="24"/>
              </w:rPr>
              <w:t>，共</w:t>
            </w:r>
            <w:r>
              <w:rPr>
                <w:rFonts w:hint="eastAsia"/>
                <w:sz w:val="24"/>
              </w:rPr>
              <w:t>12</w:t>
            </w:r>
            <w:r>
              <w:rPr>
                <w:rFonts w:hint="eastAsia"/>
                <w:sz w:val="24"/>
              </w:rPr>
              <w:t>种。所有边缘类型都是无向的，边缘值都是非负的，相同的两个节点可以具有多种不同类型的边连接。</w:t>
            </w:r>
          </w:p>
          <w:p w14:paraId="630729AE" w14:textId="77777777" w:rsidR="00E22223" w:rsidRDefault="00000000">
            <w:pPr>
              <w:snapToGrid w:val="0"/>
              <w:ind w:rightChars="21" w:right="44" w:firstLineChars="200" w:firstLine="480"/>
              <w:rPr>
                <w:sz w:val="24"/>
              </w:rPr>
            </w:pPr>
            <w:r>
              <w:rPr>
                <w:rFonts w:hint="eastAsia"/>
                <w:sz w:val="24"/>
              </w:rPr>
              <w:t>本模型将组成</w:t>
            </w:r>
            <w:r>
              <w:rPr>
                <w:rFonts w:hint="eastAsia"/>
                <w:sz w:val="24"/>
              </w:rPr>
              <w:t>12</w:t>
            </w:r>
            <w:r>
              <w:rPr>
                <w:rFonts w:hint="eastAsia"/>
                <w:sz w:val="24"/>
              </w:rPr>
              <w:t>种关系网络，构造药物</w:t>
            </w:r>
            <w:r>
              <w:rPr>
                <w:rFonts w:hint="eastAsia"/>
                <w:sz w:val="24"/>
              </w:rPr>
              <w:t>-</w:t>
            </w:r>
            <w:r>
              <w:rPr>
                <w:rFonts w:hint="eastAsia"/>
                <w:sz w:val="24"/>
              </w:rPr>
              <w:t>靶点异构网络。</w:t>
            </w:r>
          </w:p>
          <w:p w14:paraId="24D6E3E3" w14:textId="77777777" w:rsidR="00E22223" w:rsidRDefault="00000000">
            <w:pPr>
              <w:pStyle w:val="af"/>
              <w:numPr>
                <w:ilvl w:val="0"/>
                <w:numId w:val="8"/>
              </w:numPr>
              <w:snapToGrid w:val="0"/>
              <w:ind w:rightChars="21" w:right="44" w:firstLineChars="0"/>
              <w:rPr>
                <w:sz w:val="24"/>
              </w:rPr>
            </w:pPr>
            <w:r>
              <w:rPr>
                <w:rFonts w:hint="eastAsia"/>
                <w:sz w:val="24"/>
              </w:rPr>
              <w:t>药物</w:t>
            </w:r>
            <w:r>
              <w:rPr>
                <w:rFonts w:hint="eastAsia"/>
                <w:sz w:val="24"/>
              </w:rPr>
              <w:t>-</w:t>
            </w:r>
            <w:r>
              <w:rPr>
                <w:rFonts w:hint="eastAsia"/>
                <w:sz w:val="24"/>
              </w:rPr>
              <w:t>靶点相互作用网络</w:t>
            </w:r>
            <w:r>
              <w:rPr>
                <w:rFonts w:hint="eastAsia"/>
                <w:sz w:val="24"/>
              </w:rPr>
              <w:t>/</w:t>
            </w:r>
            <w:r>
              <w:rPr>
                <w:rFonts w:hint="eastAsia"/>
                <w:sz w:val="24"/>
              </w:rPr>
              <w:t>靶点药物相互作用网络：通过</w:t>
            </w:r>
            <w:r>
              <w:rPr>
                <w:sz w:val="24"/>
              </w:rPr>
              <w:t xml:space="preserve">Drug Bank Version 3.0 </w:t>
            </w:r>
            <w:r>
              <w:rPr>
                <w:rFonts w:hint="eastAsia"/>
                <w:sz w:val="24"/>
              </w:rPr>
              <w:t>下载中获得。其代表已知的药物</w:t>
            </w:r>
            <w:r>
              <w:rPr>
                <w:sz w:val="24"/>
              </w:rPr>
              <w:t>-</w:t>
            </w:r>
            <w:r>
              <w:rPr>
                <w:rFonts w:hint="eastAsia"/>
                <w:sz w:val="24"/>
              </w:rPr>
              <w:t>靶点互作用关联网络。</w:t>
            </w:r>
            <w:r>
              <w:rPr>
                <w:sz w:val="24"/>
              </w:rPr>
              <w:t xml:space="preserve">Drug Bank </w:t>
            </w:r>
            <w:r>
              <w:rPr>
                <w:rFonts w:hint="eastAsia"/>
                <w:sz w:val="24"/>
              </w:rPr>
              <w:t>数据库将药物分子（包括生物技术药物）的结构和药理数据与其药物靶点的蛋白序列，结构和作用模式相结合，同时整合了药物的化学结构，药理作用，作用蛋白靶点，作用的生理通路，药物间互作用等信息并链接</w:t>
            </w:r>
            <w:r>
              <w:rPr>
                <w:rFonts w:hint="eastAsia"/>
                <w:sz w:val="24"/>
              </w:rPr>
              <w:t xml:space="preserve"> </w:t>
            </w:r>
            <w:r>
              <w:rPr>
                <w:sz w:val="24"/>
              </w:rPr>
              <w:t xml:space="preserve">KEGG </w:t>
            </w:r>
            <w:r>
              <w:rPr>
                <w:rFonts w:hint="eastAsia"/>
                <w:sz w:val="24"/>
              </w:rPr>
              <w:t>数据库来分析药物的详细信息。</w:t>
            </w:r>
          </w:p>
          <w:p w14:paraId="62F12F9D" w14:textId="77777777" w:rsidR="00E22223" w:rsidRDefault="00000000">
            <w:pPr>
              <w:pStyle w:val="af"/>
              <w:numPr>
                <w:ilvl w:val="0"/>
                <w:numId w:val="8"/>
              </w:numPr>
              <w:snapToGrid w:val="0"/>
              <w:ind w:rightChars="21" w:right="44" w:firstLineChars="0"/>
              <w:rPr>
                <w:sz w:val="24"/>
              </w:rPr>
            </w:pPr>
            <w:r>
              <w:rPr>
                <w:rFonts w:hint="eastAsia"/>
                <w:sz w:val="24"/>
              </w:rPr>
              <w:t>药物</w:t>
            </w:r>
            <w:r>
              <w:rPr>
                <w:rFonts w:hint="eastAsia"/>
                <w:sz w:val="24"/>
              </w:rPr>
              <w:t>-</w:t>
            </w:r>
            <w:r>
              <w:rPr>
                <w:rFonts w:hint="eastAsia"/>
                <w:sz w:val="24"/>
              </w:rPr>
              <w:t>药物相互作用网络：通过</w:t>
            </w:r>
            <w:r>
              <w:rPr>
                <w:sz w:val="24"/>
              </w:rPr>
              <w:t xml:space="preserve">Drug Bank Version 3.0 </w:t>
            </w:r>
            <w:r>
              <w:rPr>
                <w:rFonts w:hint="eastAsia"/>
                <w:sz w:val="24"/>
              </w:rPr>
              <w:t>下载获得。其包含多种药物</w:t>
            </w:r>
            <w:r>
              <w:rPr>
                <w:rFonts w:hint="eastAsia"/>
                <w:sz w:val="24"/>
              </w:rPr>
              <w:t>-</w:t>
            </w:r>
            <w:r>
              <w:rPr>
                <w:rFonts w:hint="eastAsia"/>
                <w:sz w:val="24"/>
              </w:rPr>
              <w:t>药物相互作用关系。</w:t>
            </w:r>
          </w:p>
          <w:p w14:paraId="59BC840F" w14:textId="77777777" w:rsidR="00E22223" w:rsidRDefault="00000000">
            <w:pPr>
              <w:pStyle w:val="af"/>
              <w:numPr>
                <w:ilvl w:val="0"/>
                <w:numId w:val="8"/>
              </w:numPr>
              <w:snapToGrid w:val="0"/>
              <w:ind w:rightChars="21" w:right="44" w:firstLineChars="0"/>
              <w:rPr>
                <w:sz w:val="24"/>
              </w:rPr>
            </w:pPr>
            <w:r>
              <w:rPr>
                <w:rFonts w:hint="eastAsia"/>
                <w:sz w:val="24"/>
              </w:rPr>
              <w:t>药物</w:t>
            </w:r>
            <w:r>
              <w:rPr>
                <w:rFonts w:hint="eastAsia"/>
                <w:sz w:val="24"/>
              </w:rPr>
              <w:t>-</w:t>
            </w:r>
            <w:r>
              <w:rPr>
                <w:rFonts w:hint="eastAsia"/>
                <w:sz w:val="24"/>
              </w:rPr>
              <w:t>疾病关联网络</w:t>
            </w:r>
            <w:r>
              <w:rPr>
                <w:rFonts w:hint="eastAsia"/>
                <w:sz w:val="24"/>
              </w:rPr>
              <w:t>/</w:t>
            </w:r>
            <w:r>
              <w:rPr>
                <w:rFonts w:hint="eastAsia"/>
                <w:sz w:val="24"/>
              </w:rPr>
              <w:t>疾病</w:t>
            </w:r>
            <w:r>
              <w:rPr>
                <w:rFonts w:hint="eastAsia"/>
                <w:sz w:val="24"/>
              </w:rPr>
              <w:t>-</w:t>
            </w:r>
            <w:r>
              <w:rPr>
                <w:rFonts w:hint="eastAsia"/>
                <w:sz w:val="24"/>
              </w:rPr>
              <w:t>药物关联网络</w:t>
            </w:r>
            <w:r>
              <w:rPr>
                <w:rFonts w:hint="eastAsia"/>
                <w:sz w:val="24"/>
              </w:rPr>
              <w:t>/</w:t>
            </w:r>
            <w:r>
              <w:rPr>
                <w:rFonts w:hint="eastAsia"/>
                <w:sz w:val="24"/>
              </w:rPr>
              <w:t>靶点</w:t>
            </w:r>
            <w:r>
              <w:rPr>
                <w:rFonts w:hint="eastAsia"/>
                <w:sz w:val="24"/>
              </w:rPr>
              <w:t>-</w:t>
            </w:r>
            <w:r>
              <w:rPr>
                <w:rFonts w:hint="eastAsia"/>
                <w:sz w:val="24"/>
              </w:rPr>
              <w:t>疾病关联网络</w:t>
            </w:r>
            <w:r>
              <w:rPr>
                <w:rFonts w:hint="eastAsia"/>
                <w:sz w:val="24"/>
              </w:rPr>
              <w:t>/</w:t>
            </w:r>
            <w:r>
              <w:rPr>
                <w:rFonts w:hint="eastAsia"/>
                <w:sz w:val="24"/>
              </w:rPr>
              <w:t>疾病</w:t>
            </w:r>
            <w:r>
              <w:rPr>
                <w:rFonts w:hint="eastAsia"/>
                <w:sz w:val="24"/>
              </w:rPr>
              <w:t>-</w:t>
            </w:r>
            <w:r>
              <w:rPr>
                <w:rFonts w:hint="eastAsia"/>
                <w:sz w:val="24"/>
              </w:rPr>
              <w:t>靶点关联网络：通过比较毒理基因组学数据库（</w:t>
            </w:r>
            <w:r>
              <w:rPr>
                <w:rFonts w:hint="eastAsia"/>
                <w:sz w:val="24"/>
              </w:rPr>
              <w:t>Comparative</w:t>
            </w:r>
            <w:r>
              <w:rPr>
                <w:sz w:val="24"/>
              </w:rPr>
              <w:t xml:space="preserve"> Toxicogenomics Database, CTD</w:t>
            </w:r>
            <w:r>
              <w:rPr>
                <w:rFonts w:hint="eastAsia"/>
                <w:sz w:val="24"/>
              </w:rPr>
              <w:t>）获得药物</w:t>
            </w:r>
            <w:r>
              <w:rPr>
                <w:sz w:val="24"/>
              </w:rPr>
              <w:t>-</w:t>
            </w:r>
            <w:r>
              <w:rPr>
                <w:rFonts w:hint="eastAsia"/>
                <w:sz w:val="24"/>
              </w:rPr>
              <w:t>疾病的关联关系和靶点</w:t>
            </w:r>
            <w:r>
              <w:rPr>
                <w:sz w:val="24"/>
              </w:rPr>
              <w:t>-</w:t>
            </w:r>
            <w:r>
              <w:rPr>
                <w:rFonts w:hint="eastAsia"/>
                <w:sz w:val="24"/>
              </w:rPr>
              <w:t>疾病之间的关联关系。</w:t>
            </w:r>
            <w:r>
              <w:rPr>
                <w:sz w:val="24"/>
              </w:rPr>
              <w:t xml:space="preserve">CTD </w:t>
            </w:r>
            <w:r>
              <w:rPr>
                <w:rFonts w:hint="eastAsia"/>
                <w:sz w:val="24"/>
              </w:rPr>
              <w:t>是一个有效的、开源的数据库，其目的在于加强人们对环境暴露如何影响人类健康的了解。它提供了关于化学基因</w:t>
            </w:r>
            <w:r>
              <w:rPr>
                <w:sz w:val="24"/>
              </w:rPr>
              <w:t>/</w:t>
            </w:r>
            <w:r>
              <w:rPr>
                <w:rFonts w:hint="eastAsia"/>
                <w:sz w:val="24"/>
              </w:rPr>
              <w:t>蛋白质互作用、化学疾病和基因疾病关系的有关信息。这些数据与功能和路径数据相结合，可以帮助验证关于环境影响疾病的机制假设。</w:t>
            </w:r>
          </w:p>
          <w:p w14:paraId="30230E1D" w14:textId="77777777" w:rsidR="00E22223" w:rsidRDefault="00000000">
            <w:pPr>
              <w:pStyle w:val="af"/>
              <w:numPr>
                <w:ilvl w:val="0"/>
                <w:numId w:val="8"/>
              </w:numPr>
              <w:snapToGrid w:val="0"/>
              <w:ind w:rightChars="21" w:right="44" w:firstLineChars="0"/>
              <w:rPr>
                <w:sz w:val="24"/>
              </w:rPr>
            </w:pPr>
            <w:r>
              <w:rPr>
                <w:rFonts w:hint="eastAsia"/>
                <w:sz w:val="24"/>
              </w:rPr>
              <w:t>药物结构相似性网络：通过</w:t>
            </w:r>
            <w:r>
              <w:rPr>
                <w:rFonts w:hint="eastAsia"/>
                <w:sz w:val="24"/>
              </w:rPr>
              <w:t xml:space="preserve"> </w:t>
            </w:r>
            <w:r>
              <w:rPr>
                <w:sz w:val="24"/>
              </w:rPr>
              <w:t>RDkit</w:t>
            </w:r>
            <w:r>
              <w:rPr>
                <w:rFonts w:hint="eastAsia"/>
                <w:sz w:val="24"/>
              </w:rPr>
              <w:t>库以半径为</w:t>
            </w:r>
            <w:r>
              <w:rPr>
                <w:rFonts w:hint="eastAsia"/>
                <w:sz w:val="24"/>
              </w:rPr>
              <w:t>2</w:t>
            </w:r>
            <w:r>
              <w:rPr>
                <w:rFonts w:hint="eastAsia"/>
                <w:sz w:val="24"/>
              </w:rPr>
              <w:t>的摩根指纹的计算方法来计算药物</w:t>
            </w:r>
            <w:r>
              <w:rPr>
                <w:sz w:val="24"/>
              </w:rPr>
              <w:t>-</w:t>
            </w:r>
            <w:r>
              <w:rPr>
                <w:rFonts w:hint="eastAsia"/>
                <w:sz w:val="24"/>
              </w:rPr>
              <w:t>药物化合物之间的戴斯（</w:t>
            </w:r>
            <w:r>
              <w:rPr>
                <w:rFonts w:hint="eastAsia"/>
                <w:sz w:val="24"/>
              </w:rPr>
              <w:t>Dice</w:t>
            </w:r>
            <w:r>
              <w:rPr>
                <w:rFonts w:hint="eastAsia"/>
                <w:sz w:val="24"/>
              </w:rPr>
              <w:t>）相似系数，从而确定药物化合物之间的结构相似性。该网络描述了药物与药物之间的结构相似关系。</w:t>
            </w:r>
          </w:p>
          <w:p w14:paraId="4BE14022" w14:textId="77777777" w:rsidR="00E22223" w:rsidRDefault="00000000">
            <w:pPr>
              <w:pStyle w:val="af"/>
              <w:numPr>
                <w:ilvl w:val="0"/>
                <w:numId w:val="8"/>
              </w:numPr>
              <w:snapToGrid w:val="0"/>
              <w:ind w:rightChars="21" w:right="44" w:firstLineChars="0"/>
              <w:rPr>
                <w:sz w:val="24"/>
              </w:rPr>
            </w:pPr>
            <w:r>
              <w:rPr>
                <w:rFonts w:hint="eastAsia"/>
                <w:sz w:val="24"/>
              </w:rPr>
              <w:lastRenderedPageBreak/>
              <w:t>药物</w:t>
            </w:r>
            <w:r>
              <w:rPr>
                <w:rFonts w:hint="eastAsia"/>
                <w:sz w:val="24"/>
              </w:rPr>
              <w:t>-</w:t>
            </w:r>
            <w:r>
              <w:rPr>
                <w:rFonts w:hint="eastAsia"/>
                <w:sz w:val="24"/>
              </w:rPr>
              <w:t>副作用关联网络</w:t>
            </w:r>
            <w:r>
              <w:rPr>
                <w:rFonts w:hint="eastAsia"/>
                <w:sz w:val="24"/>
              </w:rPr>
              <w:t>/</w:t>
            </w:r>
            <w:r>
              <w:rPr>
                <w:rFonts w:hint="eastAsia"/>
                <w:sz w:val="24"/>
              </w:rPr>
              <w:t>副作用</w:t>
            </w:r>
            <w:r>
              <w:rPr>
                <w:rFonts w:hint="eastAsia"/>
                <w:sz w:val="24"/>
              </w:rPr>
              <w:t>-</w:t>
            </w:r>
            <w:r>
              <w:rPr>
                <w:rFonts w:hint="eastAsia"/>
                <w:sz w:val="24"/>
              </w:rPr>
              <w:t>药物关联网络：通过</w:t>
            </w:r>
            <w:r>
              <w:rPr>
                <w:rFonts w:hint="eastAsia"/>
                <w:sz w:val="24"/>
              </w:rPr>
              <w:t>S</w:t>
            </w:r>
            <w:r>
              <w:rPr>
                <w:sz w:val="24"/>
              </w:rPr>
              <w:t xml:space="preserve">IDER </w:t>
            </w:r>
            <w:r>
              <w:rPr>
                <w:rFonts w:hint="eastAsia"/>
                <w:sz w:val="24"/>
              </w:rPr>
              <w:t>database</w:t>
            </w:r>
            <w:r>
              <w:rPr>
                <w:sz w:val="24"/>
              </w:rPr>
              <w:t xml:space="preserve"> V</w:t>
            </w:r>
            <w:r>
              <w:rPr>
                <w:rFonts w:hint="eastAsia"/>
                <w:sz w:val="24"/>
              </w:rPr>
              <w:t>ersion</w:t>
            </w:r>
            <w:r>
              <w:rPr>
                <w:sz w:val="24"/>
              </w:rPr>
              <w:t xml:space="preserve"> </w:t>
            </w:r>
            <w:r>
              <w:rPr>
                <w:rFonts w:hint="eastAsia"/>
                <w:sz w:val="24"/>
              </w:rPr>
              <w:t>2</w:t>
            </w:r>
            <w:r>
              <w:rPr>
                <w:rFonts w:hint="eastAsia"/>
                <w:sz w:val="24"/>
              </w:rPr>
              <w:t>获得药物与有关副作用的关联网络。</w:t>
            </w:r>
          </w:p>
          <w:p w14:paraId="1B662AC6" w14:textId="77777777" w:rsidR="00E22223" w:rsidRDefault="00000000">
            <w:pPr>
              <w:pStyle w:val="af"/>
              <w:numPr>
                <w:ilvl w:val="0"/>
                <w:numId w:val="8"/>
              </w:numPr>
              <w:snapToGrid w:val="0"/>
              <w:ind w:rightChars="21" w:right="44" w:firstLineChars="0"/>
              <w:rPr>
                <w:sz w:val="24"/>
              </w:rPr>
            </w:pPr>
            <w:r>
              <w:rPr>
                <w:rFonts w:hint="eastAsia"/>
                <w:sz w:val="24"/>
              </w:rPr>
              <w:t>靶点</w:t>
            </w:r>
            <w:r>
              <w:rPr>
                <w:rFonts w:hint="eastAsia"/>
                <w:sz w:val="24"/>
              </w:rPr>
              <w:t>-</w:t>
            </w:r>
            <w:r>
              <w:rPr>
                <w:rFonts w:hint="eastAsia"/>
                <w:sz w:val="24"/>
              </w:rPr>
              <w:t>靶点相互作用网络：由</w:t>
            </w:r>
            <w:r>
              <w:rPr>
                <w:rFonts w:hint="eastAsia"/>
                <w:sz w:val="24"/>
              </w:rPr>
              <w:t>HPRD</w:t>
            </w:r>
            <w:r>
              <w:rPr>
                <w:sz w:val="24"/>
              </w:rPr>
              <w:t xml:space="preserve"> </w:t>
            </w:r>
            <w:r>
              <w:rPr>
                <w:rFonts w:hint="eastAsia"/>
                <w:sz w:val="24"/>
              </w:rPr>
              <w:t>database</w:t>
            </w:r>
            <w:r>
              <w:rPr>
                <w:sz w:val="24"/>
              </w:rPr>
              <w:t xml:space="preserve"> R</w:t>
            </w:r>
            <w:r>
              <w:rPr>
                <w:rFonts w:hint="eastAsia"/>
                <w:sz w:val="24"/>
              </w:rPr>
              <w:t>elease</w:t>
            </w:r>
            <w:r>
              <w:rPr>
                <w:sz w:val="24"/>
              </w:rPr>
              <w:t xml:space="preserve"> </w:t>
            </w:r>
            <w:r>
              <w:rPr>
                <w:rFonts w:hint="eastAsia"/>
                <w:sz w:val="24"/>
              </w:rPr>
              <w:t>9</w:t>
            </w:r>
            <w:r>
              <w:rPr>
                <w:rFonts w:hint="eastAsia"/>
                <w:sz w:val="24"/>
              </w:rPr>
              <w:t>获得。</w:t>
            </w:r>
            <w:r>
              <w:rPr>
                <w:sz w:val="24"/>
              </w:rPr>
              <w:t xml:space="preserve">HPRD </w:t>
            </w:r>
            <w:r>
              <w:rPr>
                <w:rFonts w:hint="eastAsia"/>
                <w:sz w:val="24"/>
              </w:rPr>
              <w:t>（</w:t>
            </w:r>
            <w:r>
              <w:rPr>
                <w:rFonts w:hint="eastAsia"/>
                <w:sz w:val="24"/>
              </w:rPr>
              <w:t xml:space="preserve"> </w:t>
            </w:r>
            <w:r>
              <w:rPr>
                <w:sz w:val="24"/>
              </w:rPr>
              <w:t>Human Protein Reference Database</w:t>
            </w:r>
            <w:r>
              <w:rPr>
                <w:rFonts w:hint="eastAsia"/>
                <w:sz w:val="24"/>
              </w:rPr>
              <w:t>）存储了大量的人类蛋白质相互作用信息。和其他同类数据库相比，该数据库中存储的大量靶点之间的相互作用信息已经过实验验证。</w:t>
            </w:r>
          </w:p>
          <w:p w14:paraId="3983C047" w14:textId="77777777" w:rsidR="00E22223" w:rsidRDefault="00000000">
            <w:pPr>
              <w:pStyle w:val="af"/>
              <w:numPr>
                <w:ilvl w:val="0"/>
                <w:numId w:val="8"/>
              </w:numPr>
              <w:snapToGrid w:val="0"/>
              <w:ind w:rightChars="21" w:right="44" w:firstLineChars="0"/>
              <w:rPr>
                <w:sz w:val="24"/>
              </w:rPr>
            </w:pPr>
            <w:r>
              <w:rPr>
                <w:rFonts w:hint="eastAsia"/>
                <w:sz w:val="24"/>
              </w:rPr>
              <w:t>靶点</w:t>
            </w:r>
            <w:r>
              <w:rPr>
                <w:rFonts w:hint="eastAsia"/>
                <w:sz w:val="24"/>
              </w:rPr>
              <w:t>-</w:t>
            </w:r>
            <w:r>
              <w:rPr>
                <w:rFonts w:hint="eastAsia"/>
                <w:sz w:val="24"/>
              </w:rPr>
              <w:t>靶点序列相似性网络：基于</w:t>
            </w:r>
            <w:r>
              <w:rPr>
                <w:rFonts w:hint="eastAsia"/>
                <w:sz w:val="24"/>
              </w:rPr>
              <w:t>Smith-Waterman</w:t>
            </w:r>
            <w:r>
              <w:rPr>
                <w:rFonts w:hint="eastAsia"/>
                <w:sz w:val="24"/>
              </w:rPr>
              <w:t>算法计算靶点</w:t>
            </w:r>
            <w:r>
              <w:rPr>
                <w:rFonts w:hint="eastAsia"/>
                <w:sz w:val="24"/>
              </w:rPr>
              <w:t>-</w:t>
            </w:r>
            <w:r>
              <w:rPr>
                <w:rFonts w:hint="eastAsia"/>
                <w:sz w:val="24"/>
              </w:rPr>
              <w:t>靶点之间的基于序列顺序的相似性得分，从而获得靶点</w:t>
            </w:r>
            <w:r>
              <w:rPr>
                <w:rFonts w:hint="eastAsia"/>
                <w:sz w:val="24"/>
              </w:rPr>
              <w:t>-</w:t>
            </w:r>
            <w:r>
              <w:rPr>
                <w:rFonts w:hint="eastAsia"/>
                <w:sz w:val="24"/>
              </w:rPr>
              <w:t>靶点相似网络。</w:t>
            </w:r>
          </w:p>
          <w:p w14:paraId="0E742F2D" w14:textId="77777777" w:rsidR="00E22223" w:rsidRDefault="00000000">
            <w:pPr>
              <w:snapToGrid w:val="0"/>
              <w:ind w:rightChars="21" w:right="44"/>
              <w:rPr>
                <w:sz w:val="24"/>
              </w:rPr>
            </w:pPr>
            <w:r>
              <w:rPr>
                <w:sz w:val="24"/>
              </w:rPr>
              <w:t xml:space="preserve"> </w:t>
            </w:r>
          </w:p>
          <w:p w14:paraId="1A427A7C" w14:textId="77777777" w:rsidR="00E22223" w:rsidRDefault="00000000">
            <w:pPr>
              <w:snapToGrid w:val="0"/>
              <w:ind w:rightChars="21" w:right="44" w:firstLineChars="200" w:firstLine="480"/>
              <w:rPr>
                <w:sz w:val="24"/>
              </w:rPr>
            </w:pPr>
            <w:r>
              <w:rPr>
                <w:rFonts w:hint="eastAsia"/>
                <w:sz w:val="24"/>
              </w:rPr>
              <w:t>根据这些网络，我们可以整合构建出一个完整的异构网络。</w:t>
            </w:r>
            <w:r>
              <w:rPr>
                <w:rFonts w:hint="eastAsia"/>
                <w:sz w:val="24"/>
              </w:rPr>
              <w:t>12</w:t>
            </w:r>
            <w:r>
              <w:rPr>
                <w:rFonts w:hint="eastAsia"/>
                <w:sz w:val="24"/>
              </w:rPr>
              <w:t>种关系网络结合在一起，构建了一个包含</w:t>
            </w:r>
            <w:r>
              <w:rPr>
                <w:rFonts w:hint="eastAsia"/>
                <w:sz w:val="24"/>
              </w:rPr>
              <w:t>708</w:t>
            </w:r>
            <w:r>
              <w:rPr>
                <w:rFonts w:hint="eastAsia"/>
                <w:sz w:val="24"/>
              </w:rPr>
              <w:t>种药物、</w:t>
            </w:r>
            <w:r>
              <w:rPr>
                <w:rFonts w:hint="eastAsia"/>
                <w:sz w:val="24"/>
              </w:rPr>
              <w:t>1512</w:t>
            </w:r>
            <w:r>
              <w:rPr>
                <w:rFonts w:hint="eastAsia"/>
                <w:sz w:val="24"/>
              </w:rPr>
              <w:t>个靶点、</w:t>
            </w:r>
            <w:r>
              <w:rPr>
                <w:rFonts w:hint="eastAsia"/>
                <w:sz w:val="24"/>
              </w:rPr>
              <w:t>5603</w:t>
            </w:r>
            <w:r>
              <w:rPr>
                <w:rFonts w:hint="eastAsia"/>
                <w:sz w:val="24"/>
              </w:rPr>
              <w:t>种疾病和</w:t>
            </w:r>
            <w:r>
              <w:rPr>
                <w:rFonts w:hint="eastAsia"/>
                <w:sz w:val="24"/>
              </w:rPr>
              <w:t>4192</w:t>
            </w:r>
            <w:r>
              <w:rPr>
                <w:rFonts w:hint="eastAsia"/>
                <w:sz w:val="24"/>
              </w:rPr>
              <w:t>种副作用的异构网络，其中包括</w:t>
            </w:r>
            <w:r>
              <w:rPr>
                <w:rFonts w:hint="eastAsia"/>
                <w:sz w:val="24"/>
              </w:rPr>
              <w:t>12,015</w:t>
            </w:r>
            <w:r>
              <w:rPr>
                <w:rFonts w:hint="eastAsia"/>
                <w:sz w:val="24"/>
              </w:rPr>
              <w:t>个节点和</w:t>
            </w:r>
            <w:r>
              <w:rPr>
                <w:rFonts w:hint="eastAsia"/>
                <w:sz w:val="24"/>
              </w:rPr>
              <w:t>1,895,445</w:t>
            </w:r>
            <w:r>
              <w:rPr>
                <w:rFonts w:hint="eastAsia"/>
                <w:sz w:val="24"/>
              </w:rPr>
              <w:t>条边。网络异构性丰富，为预测潜在的药物</w:t>
            </w:r>
            <w:r>
              <w:rPr>
                <w:rFonts w:hint="eastAsia"/>
                <w:sz w:val="24"/>
              </w:rPr>
              <w:t>-</w:t>
            </w:r>
            <w:r>
              <w:rPr>
                <w:rFonts w:hint="eastAsia"/>
                <w:sz w:val="24"/>
              </w:rPr>
              <w:t>靶点互作用关系提供了大量的信息。</w:t>
            </w:r>
          </w:p>
          <w:p w14:paraId="0361B62D" w14:textId="77777777" w:rsidR="00E22223" w:rsidRDefault="00E22223">
            <w:pPr>
              <w:snapToGrid w:val="0"/>
              <w:ind w:rightChars="21" w:right="44"/>
              <w:rPr>
                <w:sz w:val="24"/>
              </w:rPr>
            </w:pPr>
          </w:p>
          <w:p w14:paraId="569688A1" w14:textId="77777777" w:rsidR="00E22223" w:rsidRDefault="00000000">
            <w:pPr>
              <w:snapToGrid w:val="0"/>
              <w:ind w:rightChars="21" w:right="44"/>
              <w:jc w:val="center"/>
              <w:rPr>
                <w:sz w:val="24"/>
              </w:rPr>
            </w:pPr>
            <w:r>
              <w:rPr>
                <w:rFonts w:hint="eastAsia"/>
                <w:sz w:val="24"/>
              </w:rPr>
              <w:t>表</w:t>
            </w:r>
            <w:r>
              <w:rPr>
                <w:rFonts w:hint="eastAsia"/>
                <w:sz w:val="24"/>
              </w:rPr>
              <w:t>1</w:t>
            </w:r>
            <w:r>
              <w:rPr>
                <w:rFonts w:hint="eastAsia"/>
                <w:sz w:val="24"/>
              </w:rPr>
              <w:t>：异构网络数据统计表</w:t>
            </w:r>
          </w:p>
          <w:tbl>
            <w:tblPr>
              <w:tblStyle w:val="ad"/>
              <w:tblW w:w="0" w:type="auto"/>
              <w:jc w:val="center"/>
              <w:tblLook w:val="04A0" w:firstRow="1" w:lastRow="0" w:firstColumn="1" w:lastColumn="0" w:noHBand="0" w:noVBand="1"/>
            </w:tblPr>
            <w:tblGrid>
              <w:gridCol w:w="1653"/>
              <w:gridCol w:w="1653"/>
              <w:gridCol w:w="1653"/>
              <w:gridCol w:w="1653"/>
            </w:tblGrid>
            <w:tr w:rsidR="00E22223" w14:paraId="466EF853" w14:textId="77777777">
              <w:trPr>
                <w:jc w:val="center"/>
              </w:trPr>
              <w:tc>
                <w:tcPr>
                  <w:tcW w:w="1653" w:type="dxa"/>
                  <w:tcBorders>
                    <w:top w:val="double" w:sz="12" w:space="0" w:color="auto"/>
                    <w:left w:val="nil"/>
                    <w:bottom w:val="nil"/>
                    <w:right w:val="nil"/>
                  </w:tcBorders>
                  <w:vAlign w:val="center"/>
                </w:tcPr>
                <w:p w14:paraId="68046FBD" w14:textId="77777777" w:rsidR="00E22223" w:rsidRDefault="00000000">
                  <w:pPr>
                    <w:snapToGrid w:val="0"/>
                    <w:ind w:rightChars="21" w:right="44"/>
                    <w:jc w:val="center"/>
                    <w:rPr>
                      <w:sz w:val="24"/>
                    </w:rPr>
                  </w:pPr>
                  <w:r>
                    <w:rPr>
                      <w:rFonts w:hint="eastAsia"/>
                      <w:sz w:val="24"/>
                    </w:rPr>
                    <w:t>药物</w:t>
                  </w:r>
                </w:p>
              </w:tc>
              <w:tc>
                <w:tcPr>
                  <w:tcW w:w="1653" w:type="dxa"/>
                  <w:tcBorders>
                    <w:top w:val="double" w:sz="12" w:space="0" w:color="auto"/>
                    <w:left w:val="nil"/>
                    <w:bottom w:val="nil"/>
                    <w:right w:val="nil"/>
                  </w:tcBorders>
                  <w:vAlign w:val="center"/>
                </w:tcPr>
                <w:p w14:paraId="0D3F8B0B" w14:textId="77777777" w:rsidR="00E22223" w:rsidRDefault="00000000">
                  <w:pPr>
                    <w:snapToGrid w:val="0"/>
                    <w:ind w:rightChars="21" w:right="44"/>
                    <w:jc w:val="center"/>
                    <w:rPr>
                      <w:sz w:val="24"/>
                    </w:rPr>
                  </w:pPr>
                  <w:r>
                    <w:rPr>
                      <w:rFonts w:hint="eastAsia"/>
                      <w:sz w:val="24"/>
                    </w:rPr>
                    <w:t>靶点</w:t>
                  </w:r>
                </w:p>
              </w:tc>
              <w:tc>
                <w:tcPr>
                  <w:tcW w:w="1653" w:type="dxa"/>
                  <w:tcBorders>
                    <w:top w:val="double" w:sz="12" w:space="0" w:color="auto"/>
                    <w:left w:val="nil"/>
                    <w:bottom w:val="nil"/>
                    <w:right w:val="nil"/>
                  </w:tcBorders>
                  <w:vAlign w:val="center"/>
                </w:tcPr>
                <w:p w14:paraId="59C5CF41" w14:textId="77777777" w:rsidR="00E22223" w:rsidRDefault="00000000">
                  <w:pPr>
                    <w:snapToGrid w:val="0"/>
                    <w:ind w:rightChars="21" w:right="44"/>
                    <w:jc w:val="center"/>
                    <w:rPr>
                      <w:sz w:val="24"/>
                    </w:rPr>
                  </w:pPr>
                  <w:r>
                    <w:rPr>
                      <w:rFonts w:hint="eastAsia"/>
                      <w:sz w:val="24"/>
                    </w:rPr>
                    <w:t>疾病</w:t>
                  </w:r>
                </w:p>
              </w:tc>
              <w:tc>
                <w:tcPr>
                  <w:tcW w:w="1653" w:type="dxa"/>
                  <w:tcBorders>
                    <w:top w:val="double" w:sz="12" w:space="0" w:color="auto"/>
                    <w:left w:val="nil"/>
                    <w:bottom w:val="nil"/>
                    <w:right w:val="nil"/>
                  </w:tcBorders>
                  <w:vAlign w:val="center"/>
                </w:tcPr>
                <w:p w14:paraId="14ACDB8A" w14:textId="77777777" w:rsidR="00E22223" w:rsidRDefault="00000000">
                  <w:pPr>
                    <w:snapToGrid w:val="0"/>
                    <w:ind w:rightChars="21" w:right="44"/>
                    <w:jc w:val="center"/>
                    <w:rPr>
                      <w:sz w:val="24"/>
                    </w:rPr>
                  </w:pPr>
                  <w:r>
                    <w:rPr>
                      <w:rFonts w:hint="eastAsia"/>
                      <w:sz w:val="24"/>
                    </w:rPr>
                    <w:t>副作用</w:t>
                  </w:r>
                </w:p>
              </w:tc>
            </w:tr>
            <w:tr w:rsidR="00E22223" w14:paraId="51F310A9" w14:textId="77777777">
              <w:trPr>
                <w:jc w:val="center"/>
              </w:trPr>
              <w:tc>
                <w:tcPr>
                  <w:tcW w:w="1653" w:type="dxa"/>
                  <w:tcBorders>
                    <w:top w:val="nil"/>
                    <w:left w:val="nil"/>
                    <w:bottom w:val="single" w:sz="12" w:space="0" w:color="auto"/>
                    <w:right w:val="nil"/>
                  </w:tcBorders>
                  <w:vAlign w:val="center"/>
                </w:tcPr>
                <w:p w14:paraId="2A397506" w14:textId="77777777" w:rsidR="00E22223" w:rsidRDefault="00000000">
                  <w:pPr>
                    <w:snapToGrid w:val="0"/>
                    <w:ind w:rightChars="21" w:right="44"/>
                    <w:jc w:val="center"/>
                    <w:rPr>
                      <w:sz w:val="24"/>
                    </w:rPr>
                  </w:pPr>
                  <w:r>
                    <w:rPr>
                      <w:rFonts w:hint="eastAsia"/>
                      <w:sz w:val="24"/>
                    </w:rPr>
                    <w:t>708</w:t>
                  </w:r>
                </w:p>
              </w:tc>
              <w:tc>
                <w:tcPr>
                  <w:tcW w:w="1653" w:type="dxa"/>
                  <w:tcBorders>
                    <w:top w:val="nil"/>
                    <w:left w:val="nil"/>
                    <w:bottom w:val="single" w:sz="12" w:space="0" w:color="auto"/>
                    <w:right w:val="nil"/>
                  </w:tcBorders>
                  <w:vAlign w:val="center"/>
                </w:tcPr>
                <w:p w14:paraId="794B3E18" w14:textId="77777777" w:rsidR="00E22223" w:rsidRDefault="00000000">
                  <w:pPr>
                    <w:snapToGrid w:val="0"/>
                    <w:ind w:rightChars="21" w:right="44"/>
                    <w:jc w:val="center"/>
                    <w:rPr>
                      <w:sz w:val="24"/>
                    </w:rPr>
                  </w:pPr>
                  <w:r>
                    <w:rPr>
                      <w:rFonts w:hint="eastAsia"/>
                      <w:sz w:val="24"/>
                    </w:rPr>
                    <w:t>1512</w:t>
                  </w:r>
                </w:p>
              </w:tc>
              <w:tc>
                <w:tcPr>
                  <w:tcW w:w="1653" w:type="dxa"/>
                  <w:tcBorders>
                    <w:top w:val="nil"/>
                    <w:left w:val="nil"/>
                    <w:bottom w:val="single" w:sz="12" w:space="0" w:color="auto"/>
                    <w:right w:val="nil"/>
                  </w:tcBorders>
                  <w:vAlign w:val="center"/>
                </w:tcPr>
                <w:p w14:paraId="569A1388" w14:textId="77777777" w:rsidR="00E22223" w:rsidRDefault="00000000">
                  <w:pPr>
                    <w:snapToGrid w:val="0"/>
                    <w:ind w:rightChars="21" w:right="44"/>
                    <w:jc w:val="center"/>
                    <w:rPr>
                      <w:sz w:val="24"/>
                    </w:rPr>
                  </w:pPr>
                  <w:r>
                    <w:rPr>
                      <w:rFonts w:hint="eastAsia"/>
                      <w:sz w:val="24"/>
                    </w:rPr>
                    <w:t>5603</w:t>
                  </w:r>
                </w:p>
              </w:tc>
              <w:tc>
                <w:tcPr>
                  <w:tcW w:w="1653" w:type="dxa"/>
                  <w:tcBorders>
                    <w:top w:val="nil"/>
                    <w:left w:val="nil"/>
                    <w:bottom w:val="single" w:sz="12" w:space="0" w:color="auto"/>
                    <w:right w:val="nil"/>
                  </w:tcBorders>
                  <w:vAlign w:val="center"/>
                </w:tcPr>
                <w:p w14:paraId="6FEC2923" w14:textId="77777777" w:rsidR="00E22223" w:rsidRDefault="00000000">
                  <w:pPr>
                    <w:snapToGrid w:val="0"/>
                    <w:ind w:rightChars="21" w:right="44"/>
                    <w:jc w:val="center"/>
                    <w:rPr>
                      <w:sz w:val="24"/>
                    </w:rPr>
                  </w:pPr>
                  <w:r>
                    <w:rPr>
                      <w:rFonts w:hint="eastAsia"/>
                      <w:sz w:val="24"/>
                    </w:rPr>
                    <w:t>4192</w:t>
                  </w:r>
                </w:p>
              </w:tc>
            </w:tr>
            <w:tr w:rsidR="00E22223" w14:paraId="19B42121" w14:textId="77777777">
              <w:trPr>
                <w:jc w:val="center"/>
              </w:trPr>
              <w:tc>
                <w:tcPr>
                  <w:tcW w:w="1653" w:type="dxa"/>
                  <w:tcBorders>
                    <w:top w:val="single" w:sz="12" w:space="0" w:color="auto"/>
                    <w:left w:val="nil"/>
                    <w:bottom w:val="nil"/>
                    <w:right w:val="nil"/>
                  </w:tcBorders>
                  <w:vAlign w:val="center"/>
                </w:tcPr>
                <w:p w14:paraId="74D3016D" w14:textId="77777777" w:rsidR="00E22223" w:rsidRDefault="00000000">
                  <w:pPr>
                    <w:snapToGrid w:val="0"/>
                    <w:ind w:rightChars="21" w:right="44"/>
                    <w:jc w:val="center"/>
                    <w:rPr>
                      <w:sz w:val="24"/>
                    </w:rPr>
                  </w:pPr>
                  <w:r>
                    <w:rPr>
                      <w:rFonts w:hint="eastAsia"/>
                      <w:sz w:val="24"/>
                    </w:rPr>
                    <w:t>药物</w:t>
                  </w:r>
                  <w:r>
                    <w:rPr>
                      <w:rFonts w:hint="eastAsia"/>
                      <w:sz w:val="24"/>
                    </w:rPr>
                    <w:t>-</w:t>
                  </w:r>
                  <w:r>
                    <w:rPr>
                      <w:rFonts w:hint="eastAsia"/>
                      <w:sz w:val="24"/>
                    </w:rPr>
                    <w:t>药物</w:t>
                  </w:r>
                </w:p>
              </w:tc>
              <w:tc>
                <w:tcPr>
                  <w:tcW w:w="1653" w:type="dxa"/>
                  <w:tcBorders>
                    <w:top w:val="single" w:sz="12" w:space="0" w:color="auto"/>
                    <w:left w:val="nil"/>
                    <w:bottom w:val="nil"/>
                    <w:right w:val="nil"/>
                  </w:tcBorders>
                  <w:vAlign w:val="center"/>
                </w:tcPr>
                <w:p w14:paraId="5DEAB13A" w14:textId="77777777" w:rsidR="00E22223" w:rsidRDefault="00000000">
                  <w:pPr>
                    <w:snapToGrid w:val="0"/>
                    <w:ind w:rightChars="21" w:right="44"/>
                    <w:jc w:val="center"/>
                    <w:rPr>
                      <w:sz w:val="24"/>
                    </w:rPr>
                  </w:pPr>
                  <w:r>
                    <w:rPr>
                      <w:rFonts w:hint="eastAsia"/>
                      <w:sz w:val="24"/>
                    </w:rPr>
                    <w:t>药物</w:t>
                  </w:r>
                  <w:r>
                    <w:rPr>
                      <w:rFonts w:hint="eastAsia"/>
                      <w:sz w:val="24"/>
                    </w:rPr>
                    <w:t>-</w:t>
                  </w:r>
                  <w:r>
                    <w:rPr>
                      <w:rFonts w:hint="eastAsia"/>
                      <w:sz w:val="24"/>
                    </w:rPr>
                    <w:t>靶点</w:t>
                  </w:r>
                </w:p>
              </w:tc>
              <w:tc>
                <w:tcPr>
                  <w:tcW w:w="1653" w:type="dxa"/>
                  <w:tcBorders>
                    <w:top w:val="single" w:sz="12" w:space="0" w:color="auto"/>
                    <w:left w:val="nil"/>
                    <w:bottom w:val="nil"/>
                    <w:right w:val="nil"/>
                  </w:tcBorders>
                  <w:vAlign w:val="center"/>
                </w:tcPr>
                <w:p w14:paraId="0F9DD703" w14:textId="77777777" w:rsidR="00E22223" w:rsidRDefault="00000000">
                  <w:pPr>
                    <w:snapToGrid w:val="0"/>
                    <w:ind w:rightChars="21" w:right="44"/>
                    <w:jc w:val="center"/>
                    <w:rPr>
                      <w:sz w:val="24"/>
                    </w:rPr>
                  </w:pPr>
                  <w:r>
                    <w:rPr>
                      <w:rFonts w:hint="eastAsia"/>
                      <w:sz w:val="24"/>
                    </w:rPr>
                    <w:t>药物</w:t>
                  </w:r>
                  <w:r>
                    <w:rPr>
                      <w:rFonts w:hint="eastAsia"/>
                      <w:sz w:val="24"/>
                    </w:rPr>
                    <w:t>-</w:t>
                  </w:r>
                  <w:r>
                    <w:rPr>
                      <w:rFonts w:hint="eastAsia"/>
                      <w:sz w:val="24"/>
                    </w:rPr>
                    <w:t>疾病</w:t>
                  </w:r>
                </w:p>
              </w:tc>
              <w:tc>
                <w:tcPr>
                  <w:tcW w:w="1653" w:type="dxa"/>
                  <w:tcBorders>
                    <w:top w:val="single" w:sz="12" w:space="0" w:color="auto"/>
                    <w:left w:val="nil"/>
                    <w:bottom w:val="nil"/>
                    <w:right w:val="nil"/>
                  </w:tcBorders>
                  <w:vAlign w:val="center"/>
                </w:tcPr>
                <w:p w14:paraId="354E58DF" w14:textId="77777777" w:rsidR="00E22223" w:rsidRDefault="00000000">
                  <w:pPr>
                    <w:snapToGrid w:val="0"/>
                    <w:ind w:rightChars="21" w:right="44"/>
                    <w:jc w:val="center"/>
                    <w:rPr>
                      <w:sz w:val="24"/>
                    </w:rPr>
                  </w:pPr>
                  <w:r>
                    <w:rPr>
                      <w:rFonts w:hint="eastAsia"/>
                      <w:sz w:val="24"/>
                    </w:rPr>
                    <w:t>药物</w:t>
                  </w:r>
                  <w:r>
                    <w:rPr>
                      <w:rFonts w:hint="eastAsia"/>
                      <w:sz w:val="24"/>
                    </w:rPr>
                    <w:t>-</w:t>
                  </w:r>
                  <w:r>
                    <w:rPr>
                      <w:rFonts w:hint="eastAsia"/>
                      <w:sz w:val="24"/>
                    </w:rPr>
                    <w:t>副作用</w:t>
                  </w:r>
                </w:p>
              </w:tc>
            </w:tr>
            <w:tr w:rsidR="00E22223" w14:paraId="1847AF72" w14:textId="77777777">
              <w:trPr>
                <w:jc w:val="center"/>
              </w:trPr>
              <w:tc>
                <w:tcPr>
                  <w:tcW w:w="1653" w:type="dxa"/>
                  <w:tcBorders>
                    <w:top w:val="nil"/>
                    <w:left w:val="nil"/>
                    <w:bottom w:val="nil"/>
                    <w:right w:val="nil"/>
                  </w:tcBorders>
                  <w:vAlign w:val="center"/>
                </w:tcPr>
                <w:p w14:paraId="2E67B8B8" w14:textId="77777777" w:rsidR="00E22223" w:rsidRDefault="00000000">
                  <w:pPr>
                    <w:snapToGrid w:val="0"/>
                    <w:ind w:rightChars="21" w:right="44"/>
                    <w:jc w:val="center"/>
                    <w:rPr>
                      <w:sz w:val="24"/>
                    </w:rPr>
                  </w:pPr>
                  <w:r>
                    <w:rPr>
                      <w:rFonts w:hint="eastAsia"/>
                      <w:sz w:val="24"/>
                    </w:rPr>
                    <w:t>10036</w:t>
                  </w:r>
                </w:p>
              </w:tc>
              <w:tc>
                <w:tcPr>
                  <w:tcW w:w="1653" w:type="dxa"/>
                  <w:tcBorders>
                    <w:top w:val="nil"/>
                    <w:left w:val="nil"/>
                    <w:bottom w:val="nil"/>
                    <w:right w:val="nil"/>
                  </w:tcBorders>
                  <w:vAlign w:val="center"/>
                </w:tcPr>
                <w:p w14:paraId="5C263A7E" w14:textId="77777777" w:rsidR="00E22223" w:rsidRDefault="00000000">
                  <w:pPr>
                    <w:snapToGrid w:val="0"/>
                    <w:ind w:rightChars="21" w:right="44"/>
                    <w:jc w:val="center"/>
                    <w:rPr>
                      <w:sz w:val="24"/>
                    </w:rPr>
                  </w:pPr>
                  <w:r>
                    <w:rPr>
                      <w:rFonts w:hint="eastAsia"/>
                      <w:sz w:val="24"/>
                    </w:rPr>
                    <w:t>1923</w:t>
                  </w:r>
                </w:p>
              </w:tc>
              <w:tc>
                <w:tcPr>
                  <w:tcW w:w="1653" w:type="dxa"/>
                  <w:tcBorders>
                    <w:top w:val="nil"/>
                    <w:left w:val="nil"/>
                    <w:bottom w:val="nil"/>
                    <w:right w:val="nil"/>
                  </w:tcBorders>
                  <w:vAlign w:val="center"/>
                </w:tcPr>
                <w:p w14:paraId="419ED0D6" w14:textId="77777777" w:rsidR="00E22223" w:rsidRDefault="00000000">
                  <w:pPr>
                    <w:snapToGrid w:val="0"/>
                    <w:ind w:rightChars="21" w:right="44"/>
                    <w:jc w:val="center"/>
                    <w:rPr>
                      <w:sz w:val="24"/>
                    </w:rPr>
                  </w:pPr>
                  <w:r>
                    <w:rPr>
                      <w:rFonts w:hint="eastAsia"/>
                      <w:sz w:val="24"/>
                    </w:rPr>
                    <w:t>199214</w:t>
                  </w:r>
                </w:p>
              </w:tc>
              <w:tc>
                <w:tcPr>
                  <w:tcW w:w="1653" w:type="dxa"/>
                  <w:tcBorders>
                    <w:top w:val="nil"/>
                    <w:left w:val="nil"/>
                    <w:bottom w:val="nil"/>
                    <w:right w:val="nil"/>
                  </w:tcBorders>
                  <w:vAlign w:val="center"/>
                </w:tcPr>
                <w:p w14:paraId="04BE6C26" w14:textId="77777777" w:rsidR="00E22223" w:rsidRDefault="00000000">
                  <w:pPr>
                    <w:snapToGrid w:val="0"/>
                    <w:ind w:rightChars="21" w:right="44"/>
                    <w:jc w:val="center"/>
                    <w:rPr>
                      <w:sz w:val="24"/>
                    </w:rPr>
                  </w:pPr>
                  <w:r>
                    <w:rPr>
                      <w:rFonts w:hint="eastAsia"/>
                      <w:sz w:val="24"/>
                    </w:rPr>
                    <w:t>80164</w:t>
                  </w:r>
                </w:p>
              </w:tc>
            </w:tr>
            <w:tr w:rsidR="00E22223" w14:paraId="4C8F69DA" w14:textId="77777777">
              <w:trPr>
                <w:jc w:val="center"/>
              </w:trPr>
              <w:tc>
                <w:tcPr>
                  <w:tcW w:w="1653" w:type="dxa"/>
                  <w:tcBorders>
                    <w:top w:val="nil"/>
                    <w:left w:val="nil"/>
                    <w:bottom w:val="nil"/>
                    <w:right w:val="nil"/>
                  </w:tcBorders>
                  <w:vAlign w:val="center"/>
                </w:tcPr>
                <w:p w14:paraId="11226064" w14:textId="77777777" w:rsidR="00E22223" w:rsidRDefault="00E22223">
                  <w:pPr>
                    <w:snapToGrid w:val="0"/>
                    <w:ind w:rightChars="21" w:right="44"/>
                    <w:jc w:val="center"/>
                    <w:rPr>
                      <w:sz w:val="24"/>
                    </w:rPr>
                  </w:pPr>
                </w:p>
              </w:tc>
              <w:tc>
                <w:tcPr>
                  <w:tcW w:w="1653" w:type="dxa"/>
                  <w:tcBorders>
                    <w:top w:val="nil"/>
                    <w:left w:val="nil"/>
                    <w:bottom w:val="nil"/>
                    <w:right w:val="nil"/>
                  </w:tcBorders>
                  <w:vAlign w:val="center"/>
                </w:tcPr>
                <w:p w14:paraId="6ED883BD" w14:textId="77777777" w:rsidR="00E22223" w:rsidRDefault="00000000">
                  <w:pPr>
                    <w:snapToGrid w:val="0"/>
                    <w:ind w:rightChars="21" w:right="44"/>
                    <w:jc w:val="center"/>
                    <w:rPr>
                      <w:sz w:val="24"/>
                    </w:rPr>
                  </w:pPr>
                  <w:r>
                    <w:rPr>
                      <w:rFonts w:hint="eastAsia"/>
                      <w:sz w:val="24"/>
                    </w:rPr>
                    <w:t>靶点</w:t>
                  </w:r>
                  <w:r>
                    <w:rPr>
                      <w:rFonts w:hint="eastAsia"/>
                      <w:sz w:val="24"/>
                    </w:rPr>
                    <w:t>-</w:t>
                  </w:r>
                  <w:r>
                    <w:rPr>
                      <w:rFonts w:hint="eastAsia"/>
                      <w:sz w:val="24"/>
                    </w:rPr>
                    <w:t>靶点</w:t>
                  </w:r>
                </w:p>
              </w:tc>
              <w:tc>
                <w:tcPr>
                  <w:tcW w:w="1653" w:type="dxa"/>
                  <w:tcBorders>
                    <w:top w:val="nil"/>
                    <w:left w:val="nil"/>
                    <w:bottom w:val="nil"/>
                    <w:right w:val="nil"/>
                  </w:tcBorders>
                  <w:vAlign w:val="center"/>
                </w:tcPr>
                <w:p w14:paraId="0342D855" w14:textId="77777777" w:rsidR="00E22223" w:rsidRDefault="00000000">
                  <w:pPr>
                    <w:snapToGrid w:val="0"/>
                    <w:ind w:rightChars="21" w:right="44"/>
                    <w:jc w:val="center"/>
                    <w:rPr>
                      <w:sz w:val="24"/>
                    </w:rPr>
                  </w:pPr>
                  <w:r>
                    <w:rPr>
                      <w:rFonts w:hint="eastAsia"/>
                      <w:sz w:val="24"/>
                    </w:rPr>
                    <w:t>靶点</w:t>
                  </w:r>
                  <w:r>
                    <w:rPr>
                      <w:rFonts w:hint="eastAsia"/>
                      <w:sz w:val="24"/>
                    </w:rPr>
                    <w:t>-</w:t>
                  </w:r>
                  <w:r>
                    <w:rPr>
                      <w:rFonts w:hint="eastAsia"/>
                      <w:sz w:val="24"/>
                    </w:rPr>
                    <w:t>疾病</w:t>
                  </w:r>
                </w:p>
              </w:tc>
              <w:tc>
                <w:tcPr>
                  <w:tcW w:w="1653" w:type="dxa"/>
                  <w:tcBorders>
                    <w:top w:val="nil"/>
                    <w:left w:val="nil"/>
                    <w:bottom w:val="nil"/>
                    <w:right w:val="nil"/>
                  </w:tcBorders>
                  <w:vAlign w:val="center"/>
                </w:tcPr>
                <w:p w14:paraId="3671F34C" w14:textId="77777777" w:rsidR="00E22223" w:rsidRDefault="00E22223">
                  <w:pPr>
                    <w:snapToGrid w:val="0"/>
                    <w:ind w:rightChars="21" w:right="44"/>
                    <w:jc w:val="center"/>
                    <w:rPr>
                      <w:sz w:val="24"/>
                    </w:rPr>
                  </w:pPr>
                </w:p>
              </w:tc>
            </w:tr>
            <w:tr w:rsidR="00E22223" w14:paraId="69BB85F6" w14:textId="77777777">
              <w:trPr>
                <w:jc w:val="center"/>
              </w:trPr>
              <w:tc>
                <w:tcPr>
                  <w:tcW w:w="1653" w:type="dxa"/>
                  <w:tcBorders>
                    <w:top w:val="nil"/>
                    <w:left w:val="nil"/>
                    <w:bottom w:val="double" w:sz="12" w:space="0" w:color="auto"/>
                    <w:right w:val="nil"/>
                  </w:tcBorders>
                  <w:vAlign w:val="center"/>
                </w:tcPr>
                <w:p w14:paraId="34DCA65D" w14:textId="77777777" w:rsidR="00E22223" w:rsidRDefault="00E22223">
                  <w:pPr>
                    <w:snapToGrid w:val="0"/>
                    <w:ind w:rightChars="21" w:right="44"/>
                    <w:jc w:val="center"/>
                    <w:rPr>
                      <w:sz w:val="24"/>
                    </w:rPr>
                  </w:pPr>
                </w:p>
              </w:tc>
              <w:tc>
                <w:tcPr>
                  <w:tcW w:w="1653" w:type="dxa"/>
                  <w:tcBorders>
                    <w:top w:val="nil"/>
                    <w:left w:val="nil"/>
                    <w:bottom w:val="double" w:sz="12" w:space="0" w:color="auto"/>
                    <w:right w:val="nil"/>
                  </w:tcBorders>
                  <w:vAlign w:val="center"/>
                </w:tcPr>
                <w:p w14:paraId="0FE71348" w14:textId="77777777" w:rsidR="00E22223" w:rsidRDefault="00000000">
                  <w:pPr>
                    <w:snapToGrid w:val="0"/>
                    <w:ind w:rightChars="21" w:right="44"/>
                    <w:jc w:val="center"/>
                    <w:rPr>
                      <w:sz w:val="24"/>
                    </w:rPr>
                  </w:pPr>
                  <w:r>
                    <w:rPr>
                      <w:rFonts w:hint="eastAsia"/>
                      <w:sz w:val="24"/>
                    </w:rPr>
                    <w:t>7363</w:t>
                  </w:r>
                </w:p>
              </w:tc>
              <w:tc>
                <w:tcPr>
                  <w:tcW w:w="1653" w:type="dxa"/>
                  <w:tcBorders>
                    <w:top w:val="nil"/>
                    <w:left w:val="nil"/>
                    <w:bottom w:val="double" w:sz="12" w:space="0" w:color="auto"/>
                    <w:right w:val="nil"/>
                  </w:tcBorders>
                  <w:vAlign w:val="center"/>
                </w:tcPr>
                <w:p w14:paraId="2EDB6E4D" w14:textId="77777777" w:rsidR="00E22223" w:rsidRDefault="00000000">
                  <w:pPr>
                    <w:snapToGrid w:val="0"/>
                    <w:ind w:rightChars="21" w:right="44"/>
                    <w:jc w:val="center"/>
                    <w:rPr>
                      <w:sz w:val="24"/>
                    </w:rPr>
                  </w:pPr>
                  <w:r>
                    <w:rPr>
                      <w:rFonts w:hint="eastAsia"/>
                      <w:sz w:val="24"/>
                    </w:rPr>
                    <w:t>1596745</w:t>
                  </w:r>
                </w:p>
              </w:tc>
              <w:tc>
                <w:tcPr>
                  <w:tcW w:w="1653" w:type="dxa"/>
                  <w:tcBorders>
                    <w:top w:val="nil"/>
                    <w:left w:val="nil"/>
                    <w:bottom w:val="double" w:sz="12" w:space="0" w:color="auto"/>
                    <w:right w:val="nil"/>
                  </w:tcBorders>
                  <w:vAlign w:val="center"/>
                </w:tcPr>
                <w:p w14:paraId="33233BD7" w14:textId="77777777" w:rsidR="00E22223" w:rsidRDefault="00E22223">
                  <w:pPr>
                    <w:snapToGrid w:val="0"/>
                    <w:ind w:rightChars="21" w:right="44"/>
                    <w:jc w:val="center"/>
                    <w:rPr>
                      <w:sz w:val="24"/>
                    </w:rPr>
                  </w:pPr>
                </w:p>
              </w:tc>
            </w:tr>
          </w:tbl>
          <w:p w14:paraId="5A0F2CEB" w14:textId="77777777" w:rsidR="00E22223" w:rsidRDefault="00E22223">
            <w:pPr>
              <w:snapToGrid w:val="0"/>
              <w:ind w:rightChars="21" w:right="44"/>
              <w:rPr>
                <w:sz w:val="24"/>
              </w:rPr>
            </w:pPr>
          </w:p>
          <w:p w14:paraId="133B2B8F" w14:textId="77777777" w:rsidR="00E22223" w:rsidRDefault="00E22223">
            <w:pPr>
              <w:snapToGrid w:val="0"/>
              <w:ind w:rightChars="21" w:right="44" w:firstLineChars="200" w:firstLine="480"/>
              <w:rPr>
                <w:sz w:val="24"/>
              </w:rPr>
            </w:pPr>
          </w:p>
          <w:p w14:paraId="6002CDE9" w14:textId="77777777" w:rsidR="00E22223" w:rsidRDefault="00000000">
            <w:pPr>
              <w:snapToGrid w:val="0"/>
              <w:ind w:rightChars="21" w:right="44"/>
              <w:rPr>
                <w:b/>
                <w:bCs/>
                <w:sz w:val="24"/>
              </w:rPr>
            </w:pPr>
            <w:r>
              <w:rPr>
                <w:rFonts w:hint="eastAsia"/>
                <w:b/>
                <w:bCs/>
                <w:sz w:val="24"/>
              </w:rPr>
              <w:t>3.2</w:t>
            </w:r>
            <w:r>
              <w:rPr>
                <w:b/>
                <w:bCs/>
                <w:sz w:val="24"/>
              </w:rPr>
              <w:t xml:space="preserve"> </w:t>
            </w:r>
            <w:r>
              <w:rPr>
                <w:rFonts w:hint="eastAsia"/>
                <w:b/>
                <w:bCs/>
                <w:sz w:val="24"/>
              </w:rPr>
              <w:t>节点嵌入</w:t>
            </w:r>
          </w:p>
          <w:p w14:paraId="66A24FFD" w14:textId="77777777" w:rsidR="00E22223" w:rsidRDefault="00000000">
            <w:pPr>
              <w:snapToGrid w:val="0"/>
              <w:ind w:rightChars="21" w:right="44" w:firstLineChars="200" w:firstLine="480"/>
              <w:rPr>
                <w:sz w:val="24"/>
              </w:rPr>
            </w:pPr>
            <w:r>
              <w:rPr>
                <w:rFonts w:hint="eastAsia"/>
                <w:sz w:val="24"/>
              </w:rPr>
              <w:t>该模块分为三部分：关系图卷积神经网络、注意力机制和网络拓扑重构。在给定一个异构网络的情况下，该将网络的拓扑信息和节点自身的唯一信息映射到其对应的特征空间，并尽可能地保留其原始的拓扑信息。本项目应用图卷积神经网络学习异构网络的节点级嵌入，并且集成了注意力机制，使得节点嵌入能够更好地表达不同关系类型对节点的影响程度，嵌入的节点更多。</w:t>
            </w:r>
          </w:p>
          <w:p w14:paraId="7BE38FC6" w14:textId="77777777" w:rsidR="00E22223" w:rsidRDefault="00000000">
            <w:pPr>
              <w:snapToGrid w:val="0"/>
              <w:ind w:rightChars="21" w:right="44"/>
              <w:rPr>
                <w:b/>
                <w:bCs/>
                <w:sz w:val="24"/>
              </w:rPr>
            </w:pPr>
            <w:r>
              <w:rPr>
                <w:rFonts w:hint="eastAsia"/>
                <w:b/>
                <w:bCs/>
                <w:sz w:val="24"/>
              </w:rPr>
              <w:t>3.2.1</w:t>
            </w:r>
            <w:r>
              <w:rPr>
                <w:rFonts w:hint="eastAsia"/>
                <w:b/>
                <w:bCs/>
                <w:sz w:val="24"/>
              </w:rPr>
              <w:t>关系图卷积神经网络</w:t>
            </w:r>
          </w:p>
          <w:p w14:paraId="640F8A3A" w14:textId="77777777" w:rsidR="00E22223" w:rsidRDefault="00000000">
            <w:pPr>
              <w:snapToGrid w:val="0"/>
              <w:ind w:rightChars="21" w:right="44" w:firstLineChars="200" w:firstLine="480"/>
              <w:rPr>
                <w:sz w:val="24"/>
              </w:rPr>
            </w:pPr>
            <w:r>
              <w:rPr>
                <w:rFonts w:hint="eastAsia"/>
                <w:sz w:val="24"/>
              </w:rPr>
              <w:t>图卷积神经网络（</w:t>
            </w:r>
            <w:r>
              <w:rPr>
                <w:sz w:val="24"/>
              </w:rPr>
              <w:t>Graph Convolutional Network</w:t>
            </w:r>
            <w:r>
              <w:rPr>
                <w:rFonts w:hint="eastAsia"/>
                <w:sz w:val="24"/>
              </w:rPr>
              <w:t>，</w:t>
            </w:r>
            <w:r>
              <w:rPr>
                <w:rFonts w:hint="eastAsia"/>
                <w:sz w:val="24"/>
              </w:rPr>
              <w:t>G</w:t>
            </w:r>
            <w:r>
              <w:rPr>
                <w:sz w:val="24"/>
              </w:rPr>
              <w:t>CN</w:t>
            </w:r>
            <w:r>
              <w:rPr>
                <w:rFonts w:hint="eastAsia"/>
                <w:sz w:val="24"/>
              </w:rPr>
              <w:t>）是图神经网络的一个重要组成部分。与图嵌入中嵌入表示和下游任务的分离相比，</w:t>
            </w:r>
            <w:r>
              <w:rPr>
                <w:rFonts w:hint="eastAsia"/>
                <w:sz w:val="24"/>
              </w:rPr>
              <w:t>GCN</w:t>
            </w:r>
            <w:r>
              <w:rPr>
                <w:rFonts w:hint="eastAsia"/>
                <w:sz w:val="24"/>
              </w:rPr>
              <w:t>得到节点的低维向量嵌入，然后根据不同的任务进行端到端的训练，如节点分类、图分类和链接预测。</w:t>
            </w:r>
          </w:p>
          <w:p w14:paraId="4336B11B" w14:textId="77777777" w:rsidR="00E22223" w:rsidRDefault="00000000">
            <w:pPr>
              <w:snapToGrid w:val="0"/>
              <w:ind w:rightChars="21" w:right="44" w:firstLineChars="200" w:firstLine="480"/>
              <w:rPr>
                <w:sz w:val="24"/>
              </w:rPr>
            </w:pPr>
            <w:r>
              <w:rPr>
                <w:rFonts w:hint="eastAsia"/>
                <w:sz w:val="24"/>
              </w:rPr>
              <w:t>如图所示，四个不同计算图：（</w:t>
            </w:r>
            <w:r>
              <w:rPr>
                <w:rFonts w:hint="eastAsia"/>
                <w:sz w:val="24"/>
              </w:rPr>
              <w:t>a</w:t>
            </w:r>
            <w:r>
              <w:rPr>
                <w:rFonts w:hint="eastAsia"/>
                <w:sz w:val="24"/>
              </w:rPr>
              <w:t>）、（</w:t>
            </w:r>
            <w:r>
              <w:rPr>
                <w:sz w:val="24"/>
              </w:rPr>
              <w:t>b</w:t>
            </w:r>
            <w:r>
              <w:rPr>
                <w:rFonts w:hint="eastAsia"/>
                <w:sz w:val="24"/>
              </w:rPr>
              <w:t>）、（</w:t>
            </w:r>
            <w:r>
              <w:rPr>
                <w:sz w:val="24"/>
              </w:rPr>
              <w:t>c</w:t>
            </w:r>
            <w:r>
              <w:rPr>
                <w:rFonts w:hint="eastAsia"/>
                <w:sz w:val="24"/>
              </w:rPr>
              <w:t>）和（</w:t>
            </w:r>
            <w:r>
              <w:rPr>
                <w:sz w:val="24"/>
              </w:rPr>
              <w:t>d</w:t>
            </w:r>
            <w:r>
              <w:rPr>
                <w:rFonts w:hint="eastAsia"/>
                <w:sz w:val="24"/>
              </w:rPr>
              <w:t>）。在（</w:t>
            </w:r>
            <w:r>
              <w:rPr>
                <w:sz w:val="24"/>
              </w:rPr>
              <w:t>a</w:t>
            </w:r>
            <w:r>
              <w:rPr>
                <w:rFonts w:hint="eastAsia"/>
                <w:sz w:val="24"/>
              </w:rPr>
              <w:t>）中，中心节点是药物</w:t>
            </w:r>
            <w:r>
              <w:rPr>
                <w:rFonts w:hint="eastAsia"/>
                <w:sz w:val="24"/>
              </w:rPr>
              <w:t>d1</w:t>
            </w:r>
            <w:r>
              <w:rPr>
                <w:rFonts w:hint="eastAsia"/>
                <w:sz w:val="24"/>
              </w:rPr>
              <w:t>，其所有相邻节点都是药物；在（</w:t>
            </w:r>
            <w:r>
              <w:rPr>
                <w:sz w:val="24"/>
              </w:rPr>
              <w:t>b</w:t>
            </w:r>
            <w:r>
              <w:rPr>
                <w:rFonts w:hint="eastAsia"/>
                <w:sz w:val="24"/>
              </w:rPr>
              <w:t>）中，中心节点</w:t>
            </w:r>
            <w:r>
              <w:rPr>
                <w:rFonts w:hint="eastAsia"/>
                <w:sz w:val="24"/>
              </w:rPr>
              <w:t>d3</w:t>
            </w:r>
            <w:r>
              <w:rPr>
                <w:rFonts w:hint="eastAsia"/>
                <w:sz w:val="24"/>
              </w:rPr>
              <w:t>是药物，并且有两种类型的相邻节点：药物</w:t>
            </w:r>
            <w:r>
              <w:rPr>
                <w:rFonts w:hint="eastAsia"/>
                <w:sz w:val="24"/>
              </w:rPr>
              <w:t>d1</w:t>
            </w:r>
            <w:r>
              <w:rPr>
                <w:rFonts w:hint="eastAsia"/>
                <w:sz w:val="24"/>
              </w:rPr>
              <w:t>和</w:t>
            </w:r>
            <w:r>
              <w:rPr>
                <w:rFonts w:hint="eastAsia"/>
                <w:sz w:val="24"/>
              </w:rPr>
              <w:t>d5</w:t>
            </w:r>
            <w:r>
              <w:rPr>
                <w:rFonts w:hint="eastAsia"/>
                <w:sz w:val="24"/>
              </w:rPr>
              <w:t>以及靶点</w:t>
            </w:r>
            <w:r>
              <w:rPr>
                <w:rFonts w:hint="eastAsia"/>
                <w:sz w:val="24"/>
              </w:rPr>
              <w:t>t4</w:t>
            </w:r>
            <w:r>
              <w:rPr>
                <w:rFonts w:hint="eastAsia"/>
                <w:sz w:val="24"/>
              </w:rPr>
              <w:t>。（</w:t>
            </w:r>
            <w:r>
              <w:rPr>
                <w:sz w:val="24"/>
              </w:rPr>
              <w:t>c</w:t>
            </w:r>
            <w:r>
              <w:rPr>
                <w:rFonts w:hint="eastAsia"/>
                <w:sz w:val="24"/>
              </w:rPr>
              <w:t>）和（</w:t>
            </w:r>
            <w:r>
              <w:rPr>
                <w:sz w:val="24"/>
              </w:rPr>
              <w:t>d</w:t>
            </w:r>
            <w:r>
              <w:rPr>
                <w:rFonts w:hint="eastAsia"/>
                <w:sz w:val="24"/>
              </w:rPr>
              <w:t>）是目标节点位于中心的另外两种情况。将由（</w:t>
            </w:r>
            <w:r>
              <w:rPr>
                <w:sz w:val="24"/>
              </w:rPr>
              <w:t>a</w:t>
            </w:r>
            <w:r>
              <w:rPr>
                <w:rFonts w:hint="eastAsia"/>
                <w:sz w:val="24"/>
              </w:rPr>
              <w:t>）和（</w:t>
            </w:r>
            <w:r>
              <w:rPr>
                <w:sz w:val="24"/>
              </w:rPr>
              <w:t>b</w:t>
            </w:r>
            <w:r>
              <w:rPr>
                <w:rFonts w:hint="eastAsia"/>
                <w:sz w:val="24"/>
              </w:rPr>
              <w:t>）计算的同一药物节点的特征相加，以获得其嵌入表示。类似地，根据（</w:t>
            </w:r>
            <w:r>
              <w:rPr>
                <w:sz w:val="24"/>
              </w:rPr>
              <w:t>c</w:t>
            </w:r>
            <w:r>
              <w:rPr>
                <w:rFonts w:hint="eastAsia"/>
                <w:sz w:val="24"/>
              </w:rPr>
              <w:t>）和（</w:t>
            </w:r>
            <w:r>
              <w:rPr>
                <w:sz w:val="24"/>
              </w:rPr>
              <w:t>d</w:t>
            </w:r>
            <w:r>
              <w:rPr>
                <w:rFonts w:hint="eastAsia"/>
                <w:sz w:val="24"/>
              </w:rPr>
              <w:t>），可以获得目标节点的特征表示。节点嵌入量计算如下：</w:t>
            </w:r>
          </w:p>
          <w:p w14:paraId="24353113" w14:textId="77777777" w:rsidR="00E22223" w:rsidRDefault="00000000">
            <w:pPr>
              <w:tabs>
                <w:tab w:val="center" w:pos="4140"/>
                <w:tab w:val="right" w:pos="8280"/>
              </w:tabs>
              <w:snapToGrid w:val="0"/>
              <w:ind w:rightChars="21" w:right="44"/>
              <w:rPr>
                <w:sz w:val="24"/>
              </w:rPr>
            </w:pPr>
            <w:r>
              <w:rPr>
                <w:sz w:val="24"/>
              </w:rPr>
              <w:tab/>
            </w:r>
            <w:r>
              <w:rPr>
                <w:position w:val="-12"/>
                <w:sz w:val="24"/>
              </w:rPr>
              <w:object w:dxaOrig="3397" w:dyaOrig="374" w14:anchorId="3912FFDD">
                <v:shape id="_x0000_i1046" type="#_x0000_t75" style="width:169.85pt;height:18.7pt" o:ole="">
                  <v:imagedata r:id="rId61" o:title=""/>
                </v:shape>
                <o:OLEObject Type="Embed" ProgID="Equation.AxMath" ShapeID="_x0000_i1046" DrawAspect="Content" ObjectID="_1730276150" r:id="rId62"/>
              </w:object>
            </w:r>
          </w:p>
          <w:p w14:paraId="27A87EB2" w14:textId="77777777" w:rsidR="00E22223" w:rsidRDefault="00000000">
            <w:pPr>
              <w:tabs>
                <w:tab w:val="center" w:pos="4140"/>
                <w:tab w:val="right" w:pos="8280"/>
              </w:tabs>
              <w:snapToGrid w:val="0"/>
              <w:ind w:rightChars="21" w:right="44" w:firstLineChars="200" w:firstLine="480"/>
              <w:rPr>
                <w:sz w:val="24"/>
              </w:rPr>
            </w:pPr>
            <w:r>
              <w:rPr>
                <w:rFonts w:hint="eastAsia"/>
                <w:sz w:val="24"/>
              </w:rPr>
              <w:t>其中</w:t>
            </w:r>
            <w:r>
              <w:rPr>
                <w:position w:val="-12"/>
              </w:rPr>
              <w:object w:dxaOrig="341" w:dyaOrig="363" w14:anchorId="28EE9D39">
                <v:shape id="_x0000_i1047" type="#_x0000_t75" style="width:17.05pt;height:18.15pt" o:ole="">
                  <v:imagedata r:id="rId63" o:title=""/>
                </v:shape>
                <o:OLEObject Type="Embed" ProgID="Equation.AxMath" ShapeID="_x0000_i1047" DrawAspect="Content" ObjectID="_1730276151" r:id="rId64"/>
              </w:object>
            </w:r>
            <w:r>
              <w:rPr>
                <w:rFonts w:hint="eastAsia"/>
                <w:sz w:val="24"/>
              </w:rPr>
              <w:t>表示药物节点</w:t>
            </w:r>
            <w:r>
              <w:rPr>
                <w:rFonts w:hint="eastAsia"/>
                <w:sz w:val="24"/>
              </w:rPr>
              <w:t>d</w:t>
            </w:r>
            <w:r>
              <w:rPr>
                <w:rFonts w:hint="eastAsia"/>
                <w:sz w:val="24"/>
              </w:rPr>
              <w:t>的嵌入表示；</w:t>
            </w:r>
            <w:r>
              <w:rPr>
                <w:position w:val="-12"/>
              </w:rPr>
              <w:object w:dxaOrig="418" w:dyaOrig="374" w14:anchorId="651268AC">
                <v:shape id="_x0000_i1048" type="#_x0000_t75" style="width:20.9pt;height:18.7pt" o:ole="">
                  <v:imagedata r:id="rId65" o:title=""/>
                </v:shape>
                <o:OLEObject Type="Embed" ProgID="Equation.AxMath" ShapeID="_x0000_i1048" DrawAspect="Content" ObjectID="_1730276152" r:id="rId66"/>
              </w:object>
            </w:r>
            <w:r>
              <w:rPr>
                <w:rFonts w:hint="eastAsia"/>
                <w:sz w:val="24"/>
              </w:rPr>
              <w:t>和</w:t>
            </w:r>
            <w:r>
              <w:rPr>
                <w:position w:val="-12"/>
              </w:rPr>
              <w:object w:dxaOrig="407" w:dyaOrig="374" w14:anchorId="0E468DF1">
                <v:shape id="_x0000_i1049" type="#_x0000_t75" style="width:20.35pt;height:18.7pt" o:ole="">
                  <v:imagedata r:id="rId67" o:title=""/>
                </v:shape>
                <o:OLEObject Type="Embed" ProgID="Equation.AxMath" ShapeID="_x0000_i1049" DrawAspect="Content" ObjectID="_1730276153" r:id="rId68"/>
              </w:object>
            </w:r>
            <w:r>
              <w:rPr>
                <w:rFonts w:hint="eastAsia"/>
                <w:sz w:val="24"/>
              </w:rPr>
              <w:t>分别表示节点</w:t>
            </w:r>
            <w:r>
              <w:rPr>
                <w:rFonts w:hint="eastAsia"/>
                <w:sz w:val="24"/>
              </w:rPr>
              <w:t>d</w:t>
            </w:r>
            <w:r>
              <w:rPr>
                <w:rFonts w:hint="eastAsia"/>
                <w:sz w:val="24"/>
              </w:rPr>
              <w:t>在局部图（</w:t>
            </w:r>
            <w:r>
              <w:rPr>
                <w:sz w:val="24"/>
              </w:rPr>
              <w:t>a</w:t>
            </w:r>
            <w:r>
              <w:rPr>
                <w:rFonts w:hint="eastAsia"/>
                <w:sz w:val="24"/>
              </w:rPr>
              <w:t>）和（</w:t>
            </w:r>
            <w:r>
              <w:rPr>
                <w:sz w:val="24"/>
              </w:rPr>
              <w:t>b</w:t>
            </w:r>
            <w:r>
              <w:rPr>
                <w:rFonts w:hint="eastAsia"/>
                <w:sz w:val="24"/>
              </w:rPr>
              <w:t>）中的状态；</w:t>
            </w:r>
            <w:r>
              <w:rPr>
                <w:position w:val="-12"/>
              </w:rPr>
              <w:object w:dxaOrig="308" w:dyaOrig="363" w14:anchorId="43C008E7">
                <v:shape id="_x0000_i1050" type="#_x0000_t75" style="width:15.4pt;height:18.15pt" o:ole="">
                  <v:imagedata r:id="rId69" o:title=""/>
                </v:shape>
                <o:OLEObject Type="Embed" ProgID="Equation.AxMath" ShapeID="_x0000_i1050" DrawAspect="Content" ObjectID="_1730276154" r:id="rId70"/>
              </w:object>
            </w:r>
            <w:r>
              <w:rPr>
                <w:rFonts w:hint="eastAsia"/>
                <w:sz w:val="24"/>
              </w:rPr>
              <w:t>表示目标节点</w:t>
            </w:r>
            <w:r>
              <w:rPr>
                <w:rFonts w:hint="eastAsia"/>
                <w:sz w:val="24"/>
              </w:rPr>
              <w:t>t</w:t>
            </w:r>
            <w:r>
              <w:rPr>
                <w:rFonts w:hint="eastAsia"/>
                <w:sz w:val="24"/>
              </w:rPr>
              <w:t>的嵌入表示，</w:t>
            </w:r>
            <w:r>
              <w:rPr>
                <w:position w:val="-12"/>
              </w:rPr>
              <w:object w:dxaOrig="407" w:dyaOrig="374" w14:anchorId="39226228">
                <v:shape id="_x0000_i1051" type="#_x0000_t75" style="width:20.35pt;height:18.7pt" o:ole="">
                  <v:imagedata r:id="rId71" o:title=""/>
                </v:shape>
                <o:OLEObject Type="Embed" ProgID="Equation.AxMath" ShapeID="_x0000_i1051" DrawAspect="Content" ObjectID="_1730276155" r:id="rId72"/>
              </w:object>
            </w:r>
            <w:r>
              <w:rPr>
                <w:rFonts w:hint="eastAsia"/>
                <w:sz w:val="24"/>
              </w:rPr>
              <w:t>和</w:t>
            </w:r>
            <w:r>
              <w:rPr>
                <w:position w:val="-12"/>
              </w:rPr>
              <w:object w:dxaOrig="418" w:dyaOrig="374" w14:anchorId="771C6302">
                <v:shape id="_x0000_i1052" type="#_x0000_t75" style="width:20.9pt;height:18.7pt" o:ole="">
                  <v:imagedata r:id="rId73" o:title=""/>
                </v:shape>
                <o:OLEObject Type="Embed" ProgID="Equation.AxMath" ShapeID="_x0000_i1052" DrawAspect="Content" ObjectID="_1730276156" r:id="rId74"/>
              </w:object>
            </w:r>
            <w:r>
              <w:rPr>
                <w:rFonts w:hint="eastAsia"/>
                <w:sz w:val="24"/>
              </w:rPr>
              <w:t>分别表示节点</w:t>
            </w:r>
            <w:r>
              <w:rPr>
                <w:rFonts w:hint="eastAsia"/>
                <w:sz w:val="24"/>
              </w:rPr>
              <w:t>t</w:t>
            </w:r>
            <w:r>
              <w:rPr>
                <w:rFonts w:hint="eastAsia"/>
                <w:sz w:val="24"/>
              </w:rPr>
              <w:t>在局部图（</w:t>
            </w:r>
            <w:r>
              <w:rPr>
                <w:sz w:val="24"/>
              </w:rPr>
              <w:t>c</w:t>
            </w:r>
            <w:r>
              <w:rPr>
                <w:rFonts w:hint="eastAsia"/>
                <w:sz w:val="24"/>
              </w:rPr>
              <w:t>）和（</w:t>
            </w:r>
            <w:r>
              <w:rPr>
                <w:sz w:val="24"/>
              </w:rPr>
              <w:t>d</w:t>
            </w:r>
            <w:r>
              <w:rPr>
                <w:rFonts w:hint="eastAsia"/>
                <w:sz w:val="24"/>
              </w:rPr>
              <w:t>）中的状态。</w:t>
            </w:r>
          </w:p>
          <w:p w14:paraId="06112F82" w14:textId="77777777" w:rsidR="00E22223" w:rsidRDefault="00000000">
            <w:pPr>
              <w:tabs>
                <w:tab w:val="center" w:pos="4140"/>
                <w:tab w:val="right" w:pos="8280"/>
              </w:tabs>
              <w:snapToGrid w:val="0"/>
              <w:ind w:rightChars="21" w:right="44"/>
              <w:jc w:val="center"/>
              <w:rPr>
                <w:sz w:val="24"/>
              </w:rPr>
            </w:pPr>
            <w:r>
              <w:rPr>
                <w:rFonts w:hint="eastAsia"/>
                <w:noProof/>
                <w:sz w:val="24"/>
              </w:rPr>
              <w:lastRenderedPageBreak/>
              <w:drawing>
                <wp:inline distT="0" distB="0" distL="0" distR="0" wp14:anchorId="170F32B3" wp14:editId="3D18B0F4">
                  <wp:extent cx="2240915" cy="1998980"/>
                  <wp:effectExtent l="0" t="0" r="6985"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251582" cy="2008423"/>
                          </a:xfrm>
                          <a:prstGeom prst="rect">
                            <a:avLst/>
                          </a:prstGeom>
                        </pic:spPr>
                      </pic:pic>
                    </a:graphicData>
                  </a:graphic>
                </wp:inline>
              </w:drawing>
            </w:r>
          </w:p>
          <w:p w14:paraId="5C585495" w14:textId="77777777" w:rsidR="00E22223" w:rsidRDefault="00000000">
            <w:pPr>
              <w:tabs>
                <w:tab w:val="center" w:pos="4140"/>
                <w:tab w:val="right" w:pos="8280"/>
              </w:tabs>
              <w:snapToGrid w:val="0"/>
              <w:ind w:rightChars="21" w:right="44"/>
              <w:jc w:val="center"/>
              <w:rPr>
                <w:sz w:val="24"/>
              </w:rPr>
            </w:pPr>
            <w:r>
              <w:rPr>
                <w:rFonts w:hint="eastAsia"/>
                <w:sz w:val="24"/>
              </w:rPr>
              <w:t>图</w:t>
            </w:r>
            <w:r>
              <w:rPr>
                <w:rFonts w:hint="eastAsia"/>
                <w:sz w:val="24"/>
              </w:rPr>
              <w:t>12</w:t>
            </w:r>
            <w:r>
              <w:rPr>
                <w:rFonts w:hint="eastAsia"/>
                <w:sz w:val="24"/>
              </w:rPr>
              <w:t>：节点嵌入计算例图</w:t>
            </w:r>
          </w:p>
          <w:p w14:paraId="43B1C779" w14:textId="77777777" w:rsidR="00E22223" w:rsidRDefault="00000000">
            <w:pPr>
              <w:snapToGrid w:val="0"/>
              <w:ind w:rightChars="21" w:right="44" w:firstLineChars="200" w:firstLine="480"/>
              <w:rPr>
                <w:sz w:val="24"/>
              </w:rPr>
            </w:pPr>
            <w:r>
              <w:rPr>
                <w:rFonts w:hint="eastAsia"/>
                <w:sz w:val="24"/>
              </w:rPr>
              <w:t>给定一个异构网络，图的卷积神经网络嵌入到一个结点</w:t>
            </w:r>
            <w:r>
              <w:rPr>
                <w:sz w:val="24"/>
              </w:rPr>
              <w:t>i</w:t>
            </w:r>
            <w:r>
              <w:rPr>
                <w:rFonts w:hint="eastAsia"/>
                <w:sz w:val="24"/>
              </w:rPr>
              <w:t>的</w:t>
            </w:r>
            <w:r>
              <w:rPr>
                <w:rFonts w:hint="eastAsia"/>
                <w:sz w:val="24"/>
              </w:rPr>
              <w:t>l</w:t>
            </w:r>
            <w:r>
              <w:rPr>
                <w:rFonts w:hint="eastAsia"/>
                <w:sz w:val="24"/>
              </w:rPr>
              <w:t>层，其邻域嵌入为</w:t>
            </w:r>
            <w:r>
              <w:rPr>
                <w:position w:val="-12"/>
                <w:sz w:val="24"/>
              </w:rPr>
              <w:object w:dxaOrig="297" w:dyaOrig="363" w14:anchorId="774955C2">
                <v:shape id="_x0000_i1053" type="#_x0000_t75" style="width:14.85pt;height:18.15pt" o:ole="">
                  <v:imagedata r:id="rId76" o:title=""/>
                </v:shape>
                <o:OLEObject Type="Embed" ProgID="Equation.AxMath" ShapeID="_x0000_i1053" DrawAspect="Content" ObjectID="_1730276157" r:id="rId77"/>
              </w:object>
            </w:r>
            <w:r>
              <w:rPr>
                <w:rFonts w:hint="eastAsia"/>
                <w:sz w:val="24"/>
              </w:rPr>
              <w:t>，则可以表示结点</w:t>
            </w:r>
            <w:r>
              <w:rPr>
                <w:sz w:val="24"/>
              </w:rPr>
              <w:t>i</w:t>
            </w:r>
            <w:r>
              <w:rPr>
                <w:rFonts w:hint="eastAsia"/>
                <w:sz w:val="24"/>
              </w:rPr>
              <w:t>的</w:t>
            </w:r>
            <w:r>
              <w:rPr>
                <w:rFonts w:hint="eastAsia"/>
                <w:sz w:val="24"/>
              </w:rPr>
              <w:t>l</w:t>
            </w:r>
            <w:r>
              <w:rPr>
                <w:sz w:val="24"/>
              </w:rPr>
              <w:t>+1</w:t>
            </w:r>
            <w:r>
              <w:rPr>
                <w:rFonts w:hint="eastAsia"/>
                <w:sz w:val="24"/>
              </w:rPr>
              <w:t>层嵌入为：</w:t>
            </w:r>
          </w:p>
          <w:p w14:paraId="163E43A7" w14:textId="77777777" w:rsidR="00E22223" w:rsidRDefault="00000000">
            <w:pPr>
              <w:tabs>
                <w:tab w:val="center" w:pos="4140"/>
                <w:tab w:val="right" w:pos="8280"/>
              </w:tabs>
              <w:snapToGrid w:val="0"/>
              <w:ind w:rightChars="21" w:right="44"/>
              <w:rPr>
                <w:sz w:val="24"/>
              </w:rPr>
            </w:pPr>
            <w:r>
              <w:rPr>
                <w:sz w:val="24"/>
              </w:rPr>
              <w:tab/>
            </w:r>
            <w:r>
              <w:rPr>
                <w:position w:val="-33"/>
                <w:sz w:val="24"/>
              </w:rPr>
              <w:object w:dxaOrig="5881" w:dyaOrig="791" w14:anchorId="536BDA81">
                <v:shape id="_x0000_i1054" type="#_x0000_t75" style="width:294.05pt;height:39.55pt" o:ole="">
                  <v:imagedata r:id="rId78" o:title=""/>
                </v:shape>
                <o:OLEObject Type="Embed" ProgID="Equation.AxMath" ShapeID="_x0000_i1054" DrawAspect="Content" ObjectID="_1730276158" r:id="rId79"/>
              </w:object>
            </w:r>
          </w:p>
          <w:p w14:paraId="6DB61736" w14:textId="77777777" w:rsidR="00E22223" w:rsidRDefault="00000000">
            <w:pPr>
              <w:snapToGrid w:val="0"/>
              <w:ind w:rightChars="21" w:right="44" w:firstLineChars="200" w:firstLine="480"/>
              <w:rPr>
                <w:sz w:val="24"/>
              </w:rPr>
            </w:pPr>
            <w:r>
              <w:rPr>
                <w:rFonts w:hint="eastAsia"/>
                <w:sz w:val="24"/>
              </w:rPr>
              <w:t>其中</w:t>
            </w:r>
            <w:r>
              <w:rPr>
                <w:position w:val="-12"/>
              </w:rPr>
              <w:object w:dxaOrig="352" w:dyaOrig="363" w14:anchorId="6BAA5769">
                <v:shape id="_x0000_i1055" type="#_x0000_t75" style="width:17.6pt;height:18.15pt" o:ole="">
                  <v:imagedata r:id="rId80" o:title=""/>
                </v:shape>
                <o:OLEObject Type="Embed" ProgID="Equation.AxMath" ShapeID="_x0000_i1055" DrawAspect="Content" ObjectID="_1730276159" r:id="rId81"/>
              </w:object>
            </w:r>
            <w:r>
              <w:rPr>
                <w:rFonts w:hint="eastAsia"/>
                <w:sz w:val="24"/>
              </w:rPr>
              <w:t>表示节点</w:t>
            </w:r>
            <w:r>
              <w:rPr>
                <w:rFonts w:hint="eastAsia"/>
                <w:sz w:val="24"/>
              </w:rPr>
              <w:t>i</w:t>
            </w:r>
            <w:r>
              <w:rPr>
                <w:rFonts w:hint="eastAsia"/>
                <w:sz w:val="24"/>
              </w:rPr>
              <w:t>在关系</w:t>
            </w:r>
            <w:r>
              <w:rPr>
                <w:rFonts w:hint="eastAsia"/>
                <w:sz w:val="24"/>
              </w:rPr>
              <w:t>r</w:t>
            </w:r>
            <w:r>
              <w:rPr>
                <w:rFonts w:hint="eastAsia"/>
                <w:sz w:val="24"/>
              </w:rPr>
              <w:t>下的邻域集合，</w:t>
            </w:r>
            <w:r>
              <w:rPr>
                <w:position w:val="-12"/>
                <w:sz w:val="24"/>
              </w:rPr>
              <w:object w:dxaOrig="352" w:dyaOrig="363" w14:anchorId="00E83B1A">
                <v:shape id="_x0000_i1056" type="#_x0000_t75" style="width:17.6pt;height:18.15pt" o:ole="">
                  <v:imagedata r:id="rId82" o:title=""/>
                </v:shape>
                <o:OLEObject Type="Embed" ProgID="Equation.AxMath" ShapeID="_x0000_i1056" DrawAspect="Content" ObjectID="_1730276160" r:id="rId83"/>
              </w:object>
            </w:r>
            <w:r>
              <w:rPr>
                <w:rFonts w:hint="eastAsia"/>
                <w:sz w:val="24"/>
              </w:rPr>
              <w:t>表示节点</w:t>
            </w:r>
            <w:r>
              <w:rPr>
                <w:rFonts w:hint="eastAsia"/>
                <w:sz w:val="24"/>
              </w:rPr>
              <w:t>i</w:t>
            </w:r>
            <w:r>
              <w:rPr>
                <w:rFonts w:hint="eastAsia"/>
                <w:sz w:val="24"/>
              </w:rPr>
              <w:t>与其具有边类型</w:t>
            </w:r>
            <w:r>
              <w:rPr>
                <w:rFonts w:hint="eastAsia"/>
                <w:sz w:val="24"/>
              </w:rPr>
              <w:t>r</w:t>
            </w:r>
            <w:r>
              <w:rPr>
                <w:rFonts w:hint="eastAsia"/>
                <w:sz w:val="24"/>
              </w:rPr>
              <w:t>的邻域之间的边界值之和，</w:t>
            </w:r>
            <w:r>
              <w:rPr>
                <w:rFonts w:hint="eastAsia"/>
                <w:sz w:val="24"/>
              </w:rPr>
              <w:t>s</w:t>
            </w:r>
            <w:r>
              <w:rPr>
                <w:sz w:val="24"/>
              </w:rPr>
              <w:t>（</w:t>
            </w:r>
            <w:r>
              <w:rPr>
                <w:sz w:val="24"/>
              </w:rPr>
              <w:t>e</w:t>
            </w:r>
            <w:r>
              <w:rPr>
                <w:sz w:val="24"/>
              </w:rPr>
              <w:t>）</w:t>
            </w:r>
            <w:r>
              <w:rPr>
                <w:rFonts w:hint="eastAsia"/>
                <w:sz w:val="24"/>
              </w:rPr>
              <w:t>表示节点</w:t>
            </w:r>
            <w:r>
              <w:rPr>
                <w:rFonts w:hint="eastAsia"/>
                <w:sz w:val="24"/>
              </w:rPr>
              <w:t>i</w:t>
            </w:r>
            <w:r>
              <w:rPr>
                <w:rFonts w:hint="eastAsia"/>
                <w:sz w:val="24"/>
              </w:rPr>
              <w:t>和节点</w:t>
            </w:r>
            <w:r>
              <w:rPr>
                <w:rFonts w:hint="eastAsia"/>
                <w:sz w:val="24"/>
              </w:rPr>
              <w:t>j</w:t>
            </w:r>
            <w:r>
              <w:rPr>
                <w:rFonts w:hint="eastAsia"/>
                <w:sz w:val="24"/>
              </w:rPr>
              <w:t>之间的边界值，</w:t>
            </w:r>
            <w:r>
              <w:rPr>
                <w:rFonts w:hint="eastAsia"/>
                <w:sz w:val="24"/>
              </w:rPr>
              <w:t>W</w:t>
            </w:r>
            <w:r>
              <w:rPr>
                <w:rFonts w:hint="eastAsia"/>
                <w:sz w:val="24"/>
              </w:rPr>
              <w:t>表示神经网络中的权重，</w:t>
            </w:r>
            <w:r>
              <w:rPr>
                <w:position w:val="-12"/>
              </w:rPr>
              <w:object w:dxaOrig="209" w:dyaOrig="363" w14:anchorId="683013E8">
                <v:shape id="_x0000_i1057" type="#_x0000_t75" style="width:10.45pt;height:18.15pt" o:ole="">
                  <v:imagedata r:id="rId84" o:title=""/>
                </v:shape>
                <o:OLEObject Type="Embed" ProgID="Equation.AxMath" ShapeID="_x0000_i1057" DrawAspect="Content" ObjectID="_1730276161" r:id="rId85"/>
              </w:object>
            </w:r>
            <w:r>
              <w:rPr>
                <w:rFonts w:hint="eastAsia"/>
              </w:rPr>
              <w:t>是</w:t>
            </w:r>
            <w:r>
              <w:rPr>
                <w:rFonts w:hint="eastAsia"/>
              </w:rPr>
              <w:t>ReLu</w:t>
            </w:r>
            <w:r>
              <w:rPr>
                <w:rFonts w:hint="eastAsia"/>
              </w:rPr>
              <w:t>激活函数</w:t>
            </w:r>
            <w:r>
              <w:rPr>
                <w:rFonts w:hint="eastAsia"/>
                <w:sz w:val="24"/>
              </w:rPr>
              <w:t>。对于异构网络的图卷积神经网络，我们引入了特定于关系的变换，即依赖于边的类型和方向。对于每条边类型</w:t>
            </w:r>
            <w:r>
              <w:rPr>
                <w:rFonts w:hint="eastAsia"/>
                <w:sz w:val="24"/>
              </w:rPr>
              <w:t>r</w:t>
            </w:r>
            <w:r>
              <w:rPr>
                <w:rFonts w:hint="eastAsia"/>
                <w:sz w:val="24"/>
              </w:rPr>
              <w:t>，首先利用非线性变换进行节点</w:t>
            </w:r>
            <w:r>
              <w:rPr>
                <w:rFonts w:hint="eastAsia"/>
                <w:sz w:val="24"/>
              </w:rPr>
              <w:t>i</w:t>
            </w:r>
            <w:r>
              <w:rPr>
                <w:rFonts w:hint="eastAsia"/>
                <w:sz w:val="24"/>
              </w:rPr>
              <w:t>的邻域嵌入，然后通过归一化边权重对其进行平均，从而得到节点</w:t>
            </w:r>
            <w:r>
              <w:rPr>
                <w:rFonts w:hint="eastAsia"/>
                <w:sz w:val="24"/>
              </w:rPr>
              <w:t>i</w:t>
            </w:r>
            <w:r>
              <w:rPr>
                <w:rFonts w:hint="eastAsia"/>
                <w:sz w:val="24"/>
              </w:rPr>
              <w:t>关于每条边类型</w:t>
            </w:r>
            <w:r>
              <w:rPr>
                <w:rFonts w:hint="eastAsia"/>
                <w:sz w:val="24"/>
              </w:rPr>
              <w:t>r</w:t>
            </w:r>
            <w:r>
              <w:rPr>
                <w:rFonts w:hint="eastAsia"/>
                <w:sz w:val="24"/>
              </w:rPr>
              <w:t>的邻域信息聚合；在对节点</w:t>
            </w:r>
            <w:r>
              <w:rPr>
                <w:rFonts w:hint="eastAsia"/>
                <w:sz w:val="24"/>
              </w:rPr>
              <w:t>i</w:t>
            </w:r>
            <w:r>
              <w:rPr>
                <w:rFonts w:hint="eastAsia"/>
                <w:sz w:val="24"/>
              </w:rPr>
              <w:t>的所有边类型的邻域信息求和后，得到节点</w:t>
            </w:r>
            <w:r>
              <w:rPr>
                <w:rFonts w:hint="eastAsia"/>
                <w:sz w:val="24"/>
              </w:rPr>
              <w:t>i</w:t>
            </w:r>
            <w:r>
              <w:rPr>
                <w:rFonts w:hint="eastAsia"/>
                <w:sz w:val="24"/>
              </w:rPr>
              <w:t>的邻域信息之和；最后，将该邻域信息之和与节点自身嵌入的变换特征向量相结合，使得节点</w:t>
            </w:r>
            <w:r>
              <w:rPr>
                <w:rFonts w:hint="eastAsia"/>
                <w:sz w:val="24"/>
              </w:rPr>
              <w:t>i</w:t>
            </w:r>
            <w:r>
              <w:rPr>
                <w:rFonts w:hint="eastAsia"/>
                <w:sz w:val="24"/>
              </w:rPr>
              <w:t>在下一层的嵌入表示既包含节点的邻域信息，又包含节点自身的特殊信息。此外，将多层图卷积神经网络进行堆叠，使神经网络更深入，更好地学习异构网络的节点级嵌入。</w:t>
            </w:r>
          </w:p>
          <w:p w14:paraId="7DA55FA2" w14:textId="77777777" w:rsidR="00E22223" w:rsidRDefault="00000000">
            <w:pPr>
              <w:snapToGrid w:val="0"/>
              <w:ind w:rightChars="21" w:right="44" w:firstLineChars="200" w:firstLine="420"/>
              <w:jc w:val="center"/>
              <w:rPr>
                <w:sz w:val="24"/>
              </w:rPr>
            </w:pPr>
            <w:r>
              <w:rPr>
                <w:noProof/>
              </w:rPr>
              <w:drawing>
                <wp:inline distT="0" distB="0" distL="0" distR="0" wp14:anchorId="1778A5B8" wp14:editId="0A7A3B25">
                  <wp:extent cx="2717800" cy="1559560"/>
                  <wp:effectExtent l="0" t="0" r="6350" b="2540"/>
                  <wp:docPr id="5125" name="New picture"/>
                  <wp:cNvGraphicFramePr/>
                  <a:graphic xmlns:a="http://schemas.openxmlformats.org/drawingml/2006/main">
                    <a:graphicData uri="http://schemas.openxmlformats.org/drawingml/2006/picture">
                      <pic:pic xmlns:pic="http://schemas.openxmlformats.org/drawingml/2006/picture">
                        <pic:nvPicPr>
                          <pic:cNvPr id="5125" name="New picture"/>
                          <pic:cNvPicPr/>
                        </pic:nvPicPr>
                        <pic:blipFill>
                          <a:blip r:embed="rId86"/>
                          <a:stretch>
                            <a:fillRect/>
                          </a:stretch>
                        </pic:blipFill>
                        <pic:spPr>
                          <a:xfrm>
                            <a:off x="0" y="0"/>
                            <a:ext cx="2739231" cy="1572107"/>
                          </a:xfrm>
                          <a:prstGeom prst="rect">
                            <a:avLst/>
                          </a:prstGeom>
                        </pic:spPr>
                      </pic:pic>
                    </a:graphicData>
                  </a:graphic>
                </wp:inline>
              </w:drawing>
            </w:r>
          </w:p>
          <w:p w14:paraId="4C52D525" w14:textId="77777777" w:rsidR="00E22223" w:rsidRDefault="00000000">
            <w:pPr>
              <w:snapToGrid w:val="0"/>
              <w:ind w:rightChars="21" w:right="44" w:firstLineChars="200" w:firstLine="480"/>
              <w:jc w:val="center"/>
              <w:rPr>
                <w:sz w:val="24"/>
              </w:rPr>
            </w:pPr>
            <w:r>
              <w:rPr>
                <w:rFonts w:hint="eastAsia"/>
                <w:sz w:val="24"/>
              </w:rPr>
              <w:t>图</w:t>
            </w:r>
            <w:r>
              <w:rPr>
                <w:rFonts w:hint="eastAsia"/>
                <w:sz w:val="24"/>
              </w:rPr>
              <w:t>13</w:t>
            </w:r>
            <w:r>
              <w:rPr>
                <w:rFonts w:hint="eastAsia"/>
                <w:sz w:val="24"/>
              </w:rPr>
              <w:t>：异构网络例图</w:t>
            </w:r>
          </w:p>
          <w:p w14:paraId="20C7B9B2" w14:textId="77777777" w:rsidR="00E22223" w:rsidRDefault="00E22223">
            <w:pPr>
              <w:tabs>
                <w:tab w:val="center" w:pos="4140"/>
                <w:tab w:val="right" w:pos="8280"/>
              </w:tabs>
              <w:snapToGrid w:val="0"/>
              <w:ind w:rightChars="21" w:right="44" w:firstLineChars="200" w:firstLine="480"/>
              <w:rPr>
                <w:sz w:val="24"/>
              </w:rPr>
            </w:pPr>
          </w:p>
          <w:p w14:paraId="292B9F8E" w14:textId="77777777" w:rsidR="00E22223" w:rsidRDefault="00000000">
            <w:pPr>
              <w:snapToGrid w:val="0"/>
              <w:ind w:rightChars="21" w:right="44"/>
              <w:rPr>
                <w:b/>
                <w:bCs/>
                <w:sz w:val="24"/>
              </w:rPr>
            </w:pPr>
            <w:r>
              <w:rPr>
                <w:rFonts w:hint="eastAsia"/>
                <w:b/>
                <w:bCs/>
                <w:sz w:val="24"/>
              </w:rPr>
              <w:t>3.2.2</w:t>
            </w:r>
            <w:r>
              <w:rPr>
                <w:rFonts w:hint="eastAsia"/>
                <w:b/>
                <w:bCs/>
                <w:sz w:val="24"/>
              </w:rPr>
              <w:t>图注意力机制</w:t>
            </w:r>
          </w:p>
          <w:p w14:paraId="0994E5C7" w14:textId="77777777" w:rsidR="00E22223" w:rsidRDefault="00000000">
            <w:pPr>
              <w:snapToGrid w:val="0"/>
              <w:ind w:rightChars="21" w:right="44" w:firstLineChars="200" w:firstLine="480"/>
              <w:rPr>
                <w:sz w:val="24"/>
              </w:rPr>
            </w:pPr>
            <w:r>
              <w:rPr>
                <w:rFonts w:hint="eastAsia"/>
                <w:sz w:val="24"/>
              </w:rPr>
              <w:t>在中心节点信息汇聚的过程中，图注意力机制（</w:t>
            </w:r>
            <w:r>
              <w:rPr>
                <w:sz w:val="24"/>
              </w:rPr>
              <w:t>Graph attention mechanism</w:t>
            </w:r>
            <w:r>
              <w:rPr>
                <w:rFonts w:hint="eastAsia"/>
                <w:sz w:val="24"/>
              </w:rPr>
              <w:t>，</w:t>
            </w:r>
            <w:r>
              <w:rPr>
                <w:rFonts w:hint="eastAsia"/>
                <w:sz w:val="24"/>
              </w:rPr>
              <w:t>GAT</w:t>
            </w:r>
            <w:r>
              <w:rPr>
                <w:rFonts w:hint="eastAsia"/>
                <w:sz w:val="24"/>
              </w:rPr>
              <w:t>）为领域节点分配不同的权重。该模型的注意机制与图卷积神经网络的最后一层相结合。在最后一层图卷积神经网络得到不同关系类型</w:t>
            </w:r>
            <w:r>
              <w:rPr>
                <w:rFonts w:hint="eastAsia"/>
                <w:sz w:val="24"/>
              </w:rPr>
              <w:t>r</w:t>
            </w:r>
            <w:r>
              <w:rPr>
                <w:rFonts w:hint="eastAsia"/>
                <w:sz w:val="24"/>
              </w:rPr>
              <w:t>的邻域信息之和后，利用注意力机制将不同关系类型的邻域信息分配给不同的重要程度，并指导最终节点的嵌入。</w:t>
            </w:r>
          </w:p>
          <w:p w14:paraId="303FB8F1" w14:textId="77777777" w:rsidR="00E22223" w:rsidRDefault="00000000">
            <w:pPr>
              <w:tabs>
                <w:tab w:val="center" w:pos="4140"/>
                <w:tab w:val="right" w:pos="8280"/>
              </w:tabs>
              <w:snapToGrid w:val="0"/>
              <w:ind w:rightChars="21" w:right="44"/>
              <w:rPr>
                <w:sz w:val="24"/>
              </w:rPr>
            </w:pPr>
            <w:r>
              <w:rPr>
                <w:sz w:val="24"/>
              </w:rPr>
              <w:lastRenderedPageBreak/>
              <w:tab/>
            </w:r>
            <w:r>
              <w:rPr>
                <w:position w:val="-84"/>
                <w:sz w:val="24"/>
              </w:rPr>
              <w:object w:dxaOrig="2616" w:dyaOrig="1825" w14:anchorId="0E3BAFDE">
                <v:shape id="_x0000_i1058" type="#_x0000_t75" style="width:130.8pt;height:91.25pt" o:ole="">
                  <v:imagedata r:id="rId87" o:title=""/>
                </v:shape>
                <o:OLEObject Type="Embed" ProgID="Equation.AxMath" ShapeID="_x0000_i1058" DrawAspect="Content" ObjectID="_1730276162" r:id="rId88"/>
              </w:object>
            </w:r>
          </w:p>
          <w:p w14:paraId="17A6D17E" w14:textId="77777777" w:rsidR="00E22223" w:rsidRDefault="00000000">
            <w:pPr>
              <w:snapToGrid w:val="0"/>
              <w:ind w:rightChars="21" w:right="44" w:firstLineChars="200" w:firstLine="480"/>
              <w:rPr>
                <w:sz w:val="24"/>
                <w:szCs w:val="32"/>
              </w:rPr>
            </w:pPr>
            <w:r>
              <w:rPr>
                <w:rFonts w:hint="eastAsia"/>
                <w:sz w:val="24"/>
              </w:rPr>
              <w:t>其中，</w:t>
            </w:r>
            <w:r>
              <w:rPr>
                <w:position w:val="-12"/>
              </w:rPr>
              <w:object w:dxaOrig="495" w:dyaOrig="374" w14:anchorId="22D69EAF">
                <v:shape id="_x0000_i1059" type="#_x0000_t75" style="width:24.75pt;height:18.7pt" o:ole="">
                  <v:imagedata r:id="rId89" o:title=""/>
                </v:shape>
                <o:OLEObject Type="Embed" ProgID="Equation.AxMath" ShapeID="_x0000_i1059" DrawAspect="Content" ObjectID="_1730276163" r:id="rId90"/>
              </w:object>
            </w:r>
            <w:r>
              <w:rPr>
                <w:rFonts w:hint="eastAsia"/>
                <w:sz w:val="24"/>
              </w:rPr>
              <w:t>是关系类型为</w:t>
            </w:r>
            <w:r>
              <w:rPr>
                <w:rFonts w:hint="eastAsia"/>
                <w:sz w:val="24"/>
              </w:rPr>
              <w:t>r</w:t>
            </w:r>
            <w:r>
              <w:rPr>
                <w:rFonts w:hint="eastAsia"/>
                <w:sz w:val="24"/>
              </w:rPr>
              <w:t>的节点</w:t>
            </w:r>
            <w:r>
              <w:rPr>
                <w:rFonts w:hint="eastAsia"/>
                <w:sz w:val="24"/>
              </w:rPr>
              <w:t>i</w:t>
            </w:r>
            <w:r>
              <w:rPr>
                <w:rFonts w:hint="eastAsia"/>
                <w:sz w:val="24"/>
              </w:rPr>
              <w:t>的邻域信息之和，用</w:t>
            </w:r>
            <w:r>
              <w:rPr>
                <w:rFonts w:hint="eastAsia"/>
                <w:sz w:val="24"/>
              </w:rPr>
              <w:t>Softmax</w:t>
            </w:r>
            <w:r>
              <w:rPr>
                <w:rFonts w:hint="eastAsia"/>
                <w:sz w:val="24"/>
              </w:rPr>
              <w:t>函数对其进行处理，得到关于节点</w:t>
            </w:r>
            <w:r>
              <w:rPr>
                <w:rFonts w:hint="eastAsia"/>
                <w:sz w:val="24"/>
              </w:rPr>
              <w:t>i</w:t>
            </w:r>
            <w:r>
              <w:rPr>
                <w:rFonts w:hint="eastAsia"/>
                <w:sz w:val="24"/>
              </w:rPr>
              <w:t>和关系类型</w:t>
            </w:r>
            <w:r>
              <w:rPr>
                <w:rFonts w:hint="eastAsia"/>
                <w:sz w:val="24"/>
              </w:rPr>
              <w:t>r</w:t>
            </w:r>
            <w:r>
              <w:rPr>
                <w:rFonts w:hint="eastAsia"/>
                <w:sz w:val="24"/>
              </w:rPr>
              <w:t>的关注系数</w:t>
            </w:r>
            <w:r>
              <w:rPr>
                <w:position w:val="-12"/>
              </w:rPr>
              <w:object w:dxaOrig="352" w:dyaOrig="363" w14:anchorId="1E925A8C">
                <v:shape id="_x0000_i1060" type="#_x0000_t75" style="width:17.6pt;height:18.15pt" o:ole="">
                  <v:imagedata r:id="rId91" o:title=""/>
                </v:shape>
                <o:OLEObject Type="Embed" ProgID="Equation.AxMath" ShapeID="_x0000_i1060" DrawAspect="Content" ObjectID="_1730276164" r:id="rId92"/>
              </w:object>
            </w:r>
            <w:r>
              <w:rPr>
                <w:rFonts w:hint="eastAsia"/>
              </w:rPr>
              <w:t>，</w:t>
            </w:r>
            <w:r>
              <w:rPr>
                <w:rFonts w:hint="eastAsia"/>
                <w:sz w:val="24"/>
                <w:szCs w:val="32"/>
              </w:rPr>
              <w:t>乘以原始嵌入的</w:t>
            </w:r>
            <w:r>
              <w:rPr>
                <w:position w:val="-12"/>
              </w:rPr>
              <w:object w:dxaOrig="495" w:dyaOrig="374" w14:anchorId="6FA85E76">
                <v:shape id="_x0000_i1061" type="#_x0000_t75" style="width:24.75pt;height:18.7pt" o:ole="">
                  <v:imagedata r:id="rId89" o:title=""/>
                </v:shape>
                <o:OLEObject Type="Embed" ProgID="Equation.AxMath" ShapeID="_x0000_i1061" DrawAspect="Content" ObjectID="_1730276165" r:id="rId93"/>
              </w:object>
            </w:r>
            <w:r>
              <w:rPr>
                <w:rFonts w:hint="eastAsia"/>
                <w:sz w:val="24"/>
                <w:szCs w:val="32"/>
              </w:rPr>
              <w:t>，得到添加注意力机制后不同关系类型的领域信息</w:t>
            </w:r>
            <w:r>
              <w:rPr>
                <w:position w:val="-17"/>
              </w:rPr>
              <w:object w:dxaOrig="440" w:dyaOrig="407" w14:anchorId="293CB826">
                <v:shape id="_x0000_i1062" type="#_x0000_t75" style="width:22pt;height:20.35pt" o:ole="">
                  <v:imagedata r:id="rId94" o:title=""/>
                </v:shape>
                <o:OLEObject Type="Embed" ProgID="Equation.AxMath" ShapeID="_x0000_i1062" DrawAspect="Content" ObjectID="_1730276166" r:id="rId95"/>
              </w:object>
            </w:r>
            <w:r>
              <w:rPr>
                <w:rFonts w:hint="eastAsia"/>
                <w:sz w:val="24"/>
                <w:szCs w:val="32"/>
              </w:rPr>
              <w:t>之和。</w:t>
            </w:r>
          </w:p>
          <w:p w14:paraId="75BF7D60" w14:textId="77777777" w:rsidR="00E22223" w:rsidRDefault="00000000">
            <w:pPr>
              <w:snapToGrid w:val="0"/>
              <w:ind w:rightChars="21" w:right="44"/>
              <w:jc w:val="center"/>
              <w:rPr>
                <w:sz w:val="24"/>
                <w:szCs w:val="32"/>
              </w:rPr>
            </w:pPr>
            <w:r>
              <w:rPr>
                <w:rFonts w:hint="eastAsia"/>
                <w:noProof/>
                <w:sz w:val="24"/>
                <w:szCs w:val="32"/>
              </w:rPr>
              <w:drawing>
                <wp:inline distT="0" distB="0" distL="0" distR="0" wp14:anchorId="19715735" wp14:editId="2C2B5815">
                  <wp:extent cx="2607945" cy="1532255"/>
                  <wp:effectExtent l="0" t="0" r="190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654780" cy="1559829"/>
                          </a:xfrm>
                          <a:prstGeom prst="rect">
                            <a:avLst/>
                          </a:prstGeom>
                        </pic:spPr>
                      </pic:pic>
                    </a:graphicData>
                  </a:graphic>
                </wp:inline>
              </w:drawing>
            </w:r>
          </w:p>
          <w:p w14:paraId="4E39CB54" w14:textId="77777777" w:rsidR="00E22223" w:rsidRDefault="00000000">
            <w:pPr>
              <w:snapToGrid w:val="0"/>
              <w:ind w:rightChars="21" w:right="44"/>
              <w:jc w:val="center"/>
              <w:rPr>
                <w:sz w:val="24"/>
                <w:szCs w:val="32"/>
              </w:rPr>
            </w:pPr>
            <w:r>
              <w:rPr>
                <w:rFonts w:hint="eastAsia"/>
                <w:sz w:val="24"/>
                <w:szCs w:val="32"/>
              </w:rPr>
              <w:t>图</w:t>
            </w:r>
            <w:r>
              <w:rPr>
                <w:rFonts w:hint="eastAsia"/>
                <w:sz w:val="24"/>
                <w:szCs w:val="32"/>
              </w:rPr>
              <w:t>14</w:t>
            </w:r>
            <w:r>
              <w:rPr>
                <w:rFonts w:hint="eastAsia"/>
                <w:sz w:val="24"/>
                <w:szCs w:val="32"/>
              </w:rPr>
              <w:t>：结合注意机制的图卷积神经网络示意图</w:t>
            </w:r>
          </w:p>
          <w:p w14:paraId="1A3A2E4F" w14:textId="77777777" w:rsidR="00E22223" w:rsidRDefault="00000000">
            <w:pPr>
              <w:snapToGrid w:val="0"/>
              <w:ind w:rightChars="21" w:right="44" w:firstLineChars="200" w:firstLine="480"/>
              <w:rPr>
                <w:sz w:val="24"/>
              </w:rPr>
            </w:pPr>
            <w:r>
              <w:rPr>
                <w:rFonts w:hint="eastAsia"/>
                <w:sz w:val="24"/>
              </w:rPr>
              <w:t>此外，将处理后的域信息的总和乘以不同关系类型的数量，再加上嵌入在前一层中的节点的映射，并由激活函数进行处理，以获得最终的节点嵌入。模型采用了注意力机制，可以更好地反映不同关系类型的信息对节点的影响，提高模型的可解释性，使模型更好地提取节点的拓扑信息，提高模型的性能。</w:t>
            </w:r>
          </w:p>
          <w:p w14:paraId="450F498A" w14:textId="77777777" w:rsidR="00E22223" w:rsidRDefault="00E22223">
            <w:pPr>
              <w:snapToGrid w:val="0"/>
              <w:ind w:rightChars="21" w:right="44" w:firstLineChars="200" w:firstLine="480"/>
              <w:rPr>
                <w:sz w:val="24"/>
              </w:rPr>
            </w:pPr>
          </w:p>
          <w:p w14:paraId="76851FDA" w14:textId="77777777" w:rsidR="00E22223" w:rsidRDefault="00000000">
            <w:pPr>
              <w:snapToGrid w:val="0"/>
              <w:ind w:rightChars="21" w:right="44"/>
              <w:rPr>
                <w:b/>
                <w:bCs/>
                <w:sz w:val="24"/>
              </w:rPr>
            </w:pPr>
            <w:r>
              <w:rPr>
                <w:rFonts w:hint="eastAsia"/>
                <w:b/>
                <w:bCs/>
                <w:sz w:val="24"/>
              </w:rPr>
              <w:t>3.2.3</w:t>
            </w:r>
            <w:r>
              <w:rPr>
                <w:b/>
                <w:bCs/>
                <w:sz w:val="24"/>
              </w:rPr>
              <w:t xml:space="preserve"> </w:t>
            </w:r>
            <w:r>
              <w:rPr>
                <w:rFonts w:hint="eastAsia"/>
                <w:b/>
                <w:bCs/>
                <w:sz w:val="24"/>
              </w:rPr>
              <w:t>网络拓扑重建</w:t>
            </w:r>
          </w:p>
          <w:p w14:paraId="6C23DD89" w14:textId="77777777" w:rsidR="00E22223" w:rsidRDefault="00000000">
            <w:pPr>
              <w:snapToGrid w:val="0"/>
              <w:ind w:rightChars="21" w:right="44"/>
              <w:rPr>
                <w:sz w:val="24"/>
              </w:rPr>
            </w:pPr>
            <w:r>
              <w:rPr>
                <w:rFonts w:hint="eastAsia"/>
                <w:sz w:val="24"/>
              </w:rPr>
              <w:t>在给定多层图卷积神经网络处理的节点嵌入和注意力机制的情况下，边界值和网络拓扑重构公式可以定义为：</w:t>
            </w:r>
          </w:p>
          <w:p w14:paraId="36F6CDFA" w14:textId="77777777" w:rsidR="00E22223" w:rsidRDefault="00000000">
            <w:pPr>
              <w:tabs>
                <w:tab w:val="center" w:pos="4140"/>
                <w:tab w:val="right" w:pos="8280"/>
              </w:tabs>
              <w:snapToGrid w:val="0"/>
              <w:ind w:rightChars="21" w:right="44"/>
              <w:rPr>
                <w:sz w:val="24"/>
              </w:rPr>
            </w:pPr>
            <w:r>
              <w:rPr>
                <w:sz w:val="24"/>
              </w:rPr>
              <w:tab/>
            </w:r>
            <w:r>
              <w:rPr>
                <w:position w:val="-31"/>
                <w:sz w:val="24"/>
              </w:rPr>
              <w:object w:dxaOrig="5035" w:dyaOrig="638" w14:anchorId="15DEF094">
                <v:shape id="_x0000_i1063" type="#_x0000_t75" style="width:251.75pt;height:31.9pt" o:ole="">
                  <v:imagedata r:id="rId97" o:title=""/>
                </v:shape>
                <o:OLEObject Type="Embed" ProgID="Equation.AxMath" ShapeID="_x0000_i1063" DrawAspect="Content" ObjectID="_1730276167" r:id="rId98"/>
              </w:object>
            </w:r>
          </w:p>
          <w:p w14:paraId="3548B761" w14:textId="77777777" w:rsidR="00E22223" w:rsidRDefault="00000000">
            <w:pPr>
              <w:tabs>
                <w:tab w:val="center" w:pos="4140"/>
                <w:tab w:val="right" w:pos="8280"/>
              </w:tabs>
              <w:snapToGrid w:val="0"/>
              <w:ind w:rightChars="21" w:right="44"/>
              <w:rPr>
                <w:sz w:val="24"/>
                <w:szCs w:val="32"/>
              </w:rPr>
            </w:pPr>
            <w:r>
              <w:rPr>
                <w:rFonts w:hint="eastAsia"/>
                <w:sz w:val="24"/>
              </w:rPr>
              <w:t>其中</w:t>
            </w:r>
            <w:r>
              <w:rPr>
                <w:position w:val="-12"/>
              </w:rPr>
              <w:object w:dxaOrig="791" w:dyaOrig="363" w14:anchorId="24C0142A">
                <v:shape id="_x0000_i1064" type="#_x0000_t75" style="width:39.55pt;height:18.15pt" o:ole="">
                  <v:imagedata r:id="rId99" o:title=""/>
                </v:shape>
                <o:OLEObject Type="Embed" ProgID="Equation.AxMath" ShapeID="_x0000_i1064" DrawAspect="Content" ObjectID="_1730276168" r:id="rId100"/>
              </w:object>
            </w:r>
            <w:r>
              <w:rPr>
                <w:rFonts w:hint="eastAsia"/>
                <w:sz w:val="24"/>
              </w:rPr>
              <w:t>是特定边缘类型</w:t>
            </w:r>
            <w:r>
              <w:rPr>
                <w:rFonts w:hint="eastAsia"/>
                <w:sz w:val="24"/>
              </w:rPr>
              <w:t>r</w:t>
            </w:r>
            <w:r>
              <w:rPr>
                <w:rFonts w:hint="eastAsia"/>
                <w:sz w:val="24"/>
              </w:rPr>
              <w:t>的投影矩阵。如果边缘类型</w:t>
            </w:r>
            <w:r>
              <w:rPr>
                <w:rFonts w:hint="eastAsia"/>
                <w:sz w:val="24"/>
              </w:rPr>
              <w:t>r</w:t>
            </w:r>
            <w:r>
              <w:rPr>
                <w:rFonts w:hint="eastAsia"/>
                <w:sz w:val="24"/>
              </w:rPr>
              <w:t>是对称的，如药物</w:t>
            </w:r>
            <w:r>
              <w:rPr>
                <w:rFonts w:hint="eastAsia"/>
                <w:sz w:val="24"/>
              </w:rPr>
              <w:t>-</w:t>
            </w:r>
            <w:r>
              <w:rPr>
                <w:rFonts w:hint="eastAsia"/>
                <w:sz w:val="24"/>
              </w:rPr>
              <w:t>药物相关性、靶点</w:t>
            </w:r>
            <w:r>
              <w:rPr>
                <w:rFonts w:hint="eastAsia"/>
                <w:sz w:val="24"/>
              </w:rPr>
              <w:t>-</w:t>
            </w:r>
            <w:r>
              <w:rPr>
                <w:rFonts w:hint="eastAsia"/>
                <w:sz w:val="24"/>
              </w:rPr>
              <w:t>靶点相关性，则</w:t>
            </w:r>
            <w:r>
              <w:rPr>
                <w:position w:val="-12"/>
              </w:rPr>
              <w:object w:dxaOrig="901" w:dyaOrig="363" w14:anchorId="77D26426">
                <v:shape id="_x0000_i1065" type="#_x0000_t75" style="width:45.05pt;height:18.15pt" o:ole="">
                  <v:imagedata r:id="rId101" o:title=""/>
                </v:shape>
                <o:OLEObject Type="Embed" ProgID="Equation.AxMath" ShapeID="_x0000_i1065" DrawAspect="Content" ObjectID="_1730276169" r:id="rId102"/>
              </w:object>
            </w:r>
            <w:r>
              <w:rPr>
                <w:rFonts w:hint="eastAsia"/>
              </w:rPr>
              <w:t>。</w:t>
            </w:r>
            <w:r>
              <w:rPr>
                <w:rFonts w:hint="eastAsia"/>
                <w:sz w:val="24"/>
                <w:szCs w:val="32"/>
              </w:rPr>
              <w:t>将边缘分别用</w:t>
            </w:r>
            <w:r>
              <w:rPr>
                <w:position w:val="-12"/>
              </w:rPr>
              <w:object w:dxaOrig="319" w:dyaOrig="363" w14:anchorId="5D58FE4A">
                <v:shape id="_x0000_i1066" type="#_x0000_t75" style="width:15.95pt;height:18.15pt" o:ole="">
                  <v:imagedata r:id="rId103" o:title=""/>
                </v:shape>
                <o:OLEObject Type="Embed" ProgID="Equation.AxMath" ShapeID="_x0000_i1066" DrawAspect="Content" ObjectID="_1730276170" r:id="rId104"/>
              </w:object>
            </w:r>
            <w:r>
              <w:rPr>
                <w:rFonts w:hint="eastAsia"/>
                <w:sz w:val="24"/>
                <w:szCs w:val="32"/>
              </w:rPr>
              <w:t>和</w:t>
            </w:r>
            <w:r>
              <w:rPr>
                <w:position w:val="-12"/>
              </w:rPr>
              <w:object w:dxaOrig="341" w:dyaOrig="363" w14:anchorId="3A2039B8">
                <v:shape id="_x0000_i1067" type="#_x0000_t75" style="width:17.05pt;height:18.15pt" o:ole="">
                  <v:imagedata r:id="rId105" o:title=""/>
                </v:shape>
                <o:OLEObject Type="Embed" ProgID="Equation.AxMath" ShapeID="_x0000_i1067" DrawAspect="Content" ObjectID="_1730276171" r:id="rId106"/>
              </w:object>
            </w:r>
            <w:r>
              <w:rPr>
                <w:rFonts w:hint="eastAsia"/>
                <w:sz w:val="24"/>
                <w:szCs w:val="32"/>
              </w:rPr>
              <w:t>投影表示为</w:t>
            </w:r>
            <w:r>
              <w:rPr>
                <w:position w:val="-12"/>
              </w:rPr>
              <w:object w:dxaOrig="341" w:dyaOrig="363" w14:anchorId="015323B6">
                <v:shape id="_x0000_i1068" type="#_x0000_t75" style="width:17.05pt;height:18.15pt" o:ole="">
                  <v:imagedata r:id="rId107" o:title=""/>
                </v:shape>
                <o:OLEObject Type="Embed" ProgID="Equation.AxMath" ShapeID="_x0000_i1068" DrawAspect="Content" ObjectID="_1730276172" r:id="rId108"/>
              </w:object>
            </w:r>
            <w:r>
              <w:rPr>
                <w:rFonts w:hint="eastAsia"/>
                <w:sz w:val="24"/>
                <w:szCs w:val="32"/>
              </w:rPr>
              <w:t>和</w:t>
            </w:r>
            <w:r>
              <w:rPr>
                <w:position w:val="-12"/>
              </w:rPr>
              <w:object w:dxaOrig="319" w:dyaOrig="363" w14:anchorId="6D8DA4C0">
                <v:shape id="_x0000_i1069" type="#_x0000_t75" style="width:15.95pt;height:18.15pt" o:ole="">
                  <v:imagedata r:id="rId109" o:title=""/>
                </v:shape>
                <o:OLEObject Type="Embed" ProgID="Equation.AxMath" ShapeID="_x0000_i1069" DrawAspect="Content" ObjectID="_1730276173" r:id="rId110"/>
              </w:object>
            </w:r>
            <w:r>
              <w:rPr>
                <w:rFonts w:hint="eastAsia"/>
                <w:sz w:val="24"/>
                <w:szCs w:val="32"/>
              </w:rPr>
              <w:t>后，求出两个投影向量的内积。让这个内积结果尽可能地重建原始边值</w:t>
            </w:r>
            <w:r>
              <w:rPr>
                <w:rFonts w:hint="eastAsia"/>
                <w:sz w:val="24"/>
                <w:szCs w:val="32"/>
              </w:rPr>
              <w:t>s</w:t>
            </w:r>
            <w:r>
              <w:rPr>
                <w:sz w:val="24"/>
                <w:szCs w:val="32"/>
              </w:rPr>
              <w:t>（</w:t>
            </w:r>
            <w:r>
              <w:rPr>
                <w:sz w:val="24"/>
                <w:szCs w:val="32"/>
              </w:rPr>
              <w:t>e</w:t>
            </w:r>
            <w:r>
              <w:rPr>
                <w:sz w:val="24"/>
                <w:szCs w:val="32"/>
              </w:rPr>
              <w:t>）</w:t>
            </w:r>
            <w:r>
              <w:rPr>
                <w:rFonts w:hint="eastAsia"/>
                <w:sz w:val="24"/>
                <w:szCs w:val="32"/>
              </w:rPr>
              <w:t>。所有这些定义中使用的所有权重和投影矩阵都是用高斯初始化。通过网络拓扑重构过程，可以得到不同节点之间关系的强度。</w:t>
            </w:r>
          </w:p>
          <w:p w14:paraId="41AFC99F" w14:textId="77777777" w:rsidR="00E22223" w:rsidRDefault="00E22223">
            <w:pPr>
              <w:tabs>
                <w:tab w:val="center" w:pos="4140"/>
                <w:tab w:val="right" w:pos="8280"/>
              </w:tabs>
              <w:snapToGrid w:val="0"/>
              <w:ind w:rightChars="21" w:right="44"/>
              <w:rPr>
                <w:sz w:val="24"/>
              </w:rPr>
            </w:pPr>
          </w:p>
          <w:p w14:paraId="0FD6BA3F" w14:textId="77777777" w:rsidR="00E22223" w:rsidRDefault="00000000">
            <w:pPr>
              <w:pStyle w:val="dachuang3"/>
            </w:pPr>
            <w:r>
              <w:rPr>
                <w:rFonts w:hint="eastAsia"/>
              </w:rPr>
              <w:t>筛选抗新冠病毒药物</w:t>
            </w:r>
          </w:p>
          <w:p w14:paraId="3BB3C26D" w14:textId="77777777" w:rsidR="00E22223" w:rsidRDefault="00000000">
            <w:pPr>
              <w:pStyle w:val="af"/>
              <w:ind w:rightChars="21" w:right="44" w:firstLineChars="202" w:firstLine="485"/>
              <w:rPr>
                <w:sz w:val="24"/>
              </w:rPr>
            </w:pPr>
            <w:r>
              <w:rPr>
                <w:rFonts w:hint="eastAsia"/>
                <w:sz w:val="24"/>
              </w:rPr>
              <w:t>本模型将数据集分为</w:t>
            </w:r>
            <w:r>
              <w:rPr>
                <w:rFonts w:hint="eastAsia"/>
                <w:sz w:val="24"/>
              </w:rPr>
              <w:t>10</w:t>
            </w:r>
            <w:r>
              <w:rPr>
                <w:rFonts w:hint="eastAsia"/>
                <w:sz w:val="24"/>
              </w:rPr>
              <w:t>个同质和互斥的子集，每个子集都是通过随机分层抽样获得的。然后将</w:t>
            </w:r>
            <w:r>
              <w:rPr>
                <w:rFonts w:hint="eastAsia"/>
                <w:sz w:val="24"/>
              </w:rPr>
              <w:t>9</w:t>
            </w:r>
            <w:r>
              <w:rPr>
                <w:rFonts w:hint="eastAsia"/>
                <w:sz w:val="24"/>
              </w:rPr>
              <w:t>个互不相容的子集分别作为训练集和测试集，从而将数据集划分为</w:t>
            </w:r>
            <w:r>
              <w:rPr>
                <w:rFonts w:hint="eastAsia"/>
                <w:sz w:val="24"/>
              </w:rPr>
              <w:t>10</w:t>
            </w:r>
            <w:r>
              <w:rPr>
                <w:rFonts w:hint="eastAsia"/>
                <w:sz w:val="24"/>
              </w:rPr>
              <w:t>个子集，并且从训练集中随机选择</w:t>
            </w:r>
            <w:r>
              <w:rPr>
                <w:rFonts w:hint="eastAsia"/>
                <w:sz w:val="24"/>
              </w:rPr>
              <w:t>5%</w:t>
            </w:r>
            <w:r>
              <w:rPr>
                <w:rFonts w:hint="eastAsia"/>
                <w:sz w:val="24"/>
              </w:rPr>
              <w:t>作为验证集。因为有很多方法可以分成</w:t>
            </w:r>
            <w:r>
              <w:rPr>
                <w:rFonts w:hint="eastAsia"/>
                <w:sz w:val="24"/>
              </w:rPr>
              <w:t>10</w:t>
            </w:r>
            <w:r>
              <w:rPr>
                <w:rFonts w:hint="eastAsia"/>
                <w:sz w:val="24"/>
              </w:rPr>
              <w:t>个子集，为了缩小差异，我们将重复</w:t>
            </w:r>
            <w:r>
              <w:rPr>
                <w:rFonts w:hint="eastAsia"/>
                <w:sz w:val="24"/>
              </w:rPr>
              <w:t>10</w:t>
            </w:r>
            <w:r>
              <w:rPr>
                <w:rFonts w:hint="eastAsia"/>
                <w:sz w:val="24"/>
              </w:rPr>
              <w:t>次</w:t>
            </w:r>
            <w:r>
              <w:rPr>
                <w:rFonts w:hint="eastAsia"/>
                <w:sz w:val="24"/>
              </w:rPr>
              <w:t>10</w:t>
            </w:r>
            <w:r>
              <w:rPr>
                <w:rFonts w:hint="eastAsia"/>
                <w:sz w:val="24"/>
              </w:rPr>
              <w:t>折交叉验证，对最终的评估结果进行平均，找到模型泛化性能最优的超参值，减少数据划分的负面影响，并在一定程度上降低过拟合度。与训练集和测试集相比，验证集相对较小。如果损失函数的梯度下降在验证集中无效，则测试集不能用于该迭</w:t>
            </w:r>
            <w:r>
              <w:rPr>
                <w:rFonts w:hint="eastAsia"/>
                <w:sz w:val="24"/>
              </w:rPr>
              <w:lastRenderedPageBreak/>
              <w:t>代，从而减少了不必要的计算。</w:t>
            </w:r>
          </w:p>
          <w:p w14:paraId="7A36AAA2" w14:textId="77777777" w:rsidR="00E22223" w:rsidRDefault="00000000">
            <w:pPr>
              <w:pStyle w:val="af"/>
              <w:ind w:rightChars="21" w:right="44" w:firstLineChars="202" w:firstLine="485"/>
              <w:rPr>
                <w:sz w:val="24"/>
              </w:rPr>
            </w:pPr>
            <w:r>
              <w:rPr>
                <w:rFonts w:hint="eastAsia"/>
                <w:sz w:val="24"/>
              </w:rPr>
              <w:t>本模型使用</w:t>
            </w:r>
            <w:r>
              <w:rPr>
                <w:rFonts w:hint="eastAsia"/>
                <w:sz w:val="24"/>
              </w:rPr>
              <w:t>ADAM</w:t>
            </w:r>
            <w:r>
              <w:rPr>
                <w:rFonts w:hint="eastAsia"/>
                <w:sz w:val="24"/>
              </w:rPr>
              <w:t>优化器来优化模型，</w:t>
            </w:r>
            <w:r>
              <w:rPr>
                <w:rFonts w:hint="eastAsia"/>
                <w:sz w:val="24"/>
              </w:rPr>
              <w:t>ADAM</w:t>
            </w:r>
            <w:r>
              <w:rPr>
                <w:rFonts w:hint="eastAsia"/>
                <w:sz w:val="24"/>
              </w:rPr>
              <w:t>优化器同时考虑一阶梯度矩估计和二阶矩估计，并且计算更新的步长。损失函数的数学构造可微，满足</w:t>
            </w:r>
            <w:r>
              <w:rPr>
                <w:rFonts w:hint="eastAsia"/>
                <w:sz w:val="24"/>
              </w:rPr>
              <w:t>ADAM</w:t>
            </w:r>
            <w:r>
              <w:rPr>
                <w:rFonts w:hint="eastAsia"/>
                <w:sz w:val="24"/>
              </w:rPr>
              <w:t>优化器的应用要求。</w:t>
            </w:r>
            <w:r>
              <w:rPr>
                <w:rFonts w:hint="eastAsia"/>
                <w:sz w:val="24"/>
              </w:rPr>
              <w:t>ADAM</w:t>
            </w:r>
            <w:r>
              <w:rPr>
                <w:rFonts w:hint="eastAsia"/>
                <w:sz w:val="24"/>
              </w:rPr>
              <w:t>优化器在超级参数的选择上具有鲁棒性，并且可以控制学习速率。更新步长不受渐变大小的影响，因此系统能够更好地处理稀疏渐变。因此使用</w:t>
            </w:r>
            <w:r>
              <w:rPr>
                <w:rFonts w:hint="eastAsia"/>
                <w:sz w:val="24"/>
              </w:rPr>
              <w:t>ADAM</w:t>
            </w:r>
            <w:r>
              <w:rPr>
                <w:rFonts w:hint="eastAsia"/>
                <w:sz w:val="24"/>
              </w:rPr>
              <w:t>优化器寻找全局最小损失函数。</w:t>
            </w:r>
          </w:p>
          <w:p w14:paraId="1E3CFD4B" w14:textId="77777777" w:rsidR="00E22223" w:rsidRDefault="00000000">
            <w:pPr>
              <w:pStyle w:val="af"/>
              <w:ind w:rightChars="21" w:right="44" w:firstLineChars="202" w:firstLine="485"/>
              <w:rPr>
                <w:sz w:val="24"/>
              </w:rPr>
            </w:pPr>
            <w:r>
              <w:rPr>
                <w:rFonts w:hint="eastAsia"/>
                <w:sz w:val="24"/>
              </w:rPr>
              <w:t>我们使用网格搜索来确定模型的参数，本模型采用</w:t>
            </w:r>
            <w:r>
              <w:rPr>
                <w:rFonts w:hint="eastAsia"/>
                <w:sz w:val="24"/>
              </w:rPr>
              <w:t>3</w:t>
            </w:r>
            <w:r>
              <w:rPr>
                <w:rFonts w:hint="eastAsia"/>
                <w:sz w:val="24"/>
              </w:rPr>
              <w:t>层神经结构，节点嵌入维度为</w:t>
            </w:r>
            <w:r>
              <w:rPr>
                <w:rFonts w:hint="eastAsia"/>
                <w:sz w:val="24"/>
              </w:rPr>
              <w:t>1024</w:t>
            </w:r>
            <w:r>
              <w:rPr>
                <w:rFonts w:hint="eastAsia"/>
                <w:sz w:val="24"/>
              </w:rPr>
              <w:t>，图形卷积神经网络和注意力层的隐含单元为</w:t>
            </w:r>
            <w:r>
              <w:rPr>
                <w:rFonts w:hint="eastAsia"/>
                <w:sz w:val="24"/>
              </w:rPr>
              <w:t>1024</w:t>
            </w:r>
            <w:r>
              <w:rPr>
                <w:rFonts w:hint="eastAsia"/>
                <w:sz w:val="24"/>
              </w:rPr>
              <w:t>，网络拓扑重构层的隐含单元为</w:t>
            </w:r>
            <w:r>
              <w:rPr>
                <w:rFonts w:hint="eastAsia"/>
                <w:sz w:val="24"/>
              </w:rPr>
              <w:t>512</w:t>
            </w:r>
            <w:r>
              <w:rPr>
                <w:rFonts w:hint="eastAsia"/>
                <w:sz w:val="24"/>
              </w:rPr>
              <w:t>。</w:t>
            </w:r>
          </w:p>
          <w:p w14:paraId="24CDE437" w14:textId="77777777" w:rsidR="00E22223" w:rsidRDefault="00000000">
            <w:pPr>
              <w:pStyle w:val="af"/>
              <w:ind w:rightChars="21" w:right="44" w:firstLineChars="202" w:firstLine="485"/>
              <w:rPr>
                <w:sz w:val="24"/>
              </w:rPr>
            </w:pPr>
            <w:r>
              <w:rPr>
                <w:rFonts w:hint="eastAsia"/>
                <w:sz w:val="24"/>
              </w:rPr>
              <w:t>我们依托前文所述基准数据库、相互作用网络数据集、麻省理工学院</w:t>
            </w:r>
            <w:r>
              <w:rPr>
                <w:rFonts w:hint="eastAsia"/>
                <w:sz w:val="24"/>
              </w:rPr>
              <w:t>A</w:t>
            </w:r>
            <w:r>
              <w:rPr>
                <w:sz w:val="24"/>
              </w:rPr>
              <w:t>I C</w:t>
            </w:r>
            <w:r>
              <w:rPr>
                <w:rFonts w:hint="eastAsia"/>
                <w:sz w:val="24"/>
              </w:rPr>
              <w:t>ures</w:t>
            </w:r>
            <w:r>
              <w:rPr>
                <w:rFonts w:hint="eastAsia"/>
                <w:sz w:val="24"/>
              </w:rPr>
              <w:t>提供的</w:t>
            </w:r>
            <w:r>
              <w:rPr>
                <w:rFonts w:hint="eastAsia"/>
                <w:sz w:val="24"/>
              </w:rPr>
              <w:t>C</w:t>
            </w:r>
            <w:r>
              <w:rPr>
                <w:sz w:val="24"/>
              </w:rPr>
              <w:t>OVID-19</w:t>
            </w:r>
            <w:r>
              <w:rPr>
                <w:rFonts w:hint="eastAsia"/>
                <w:sz w:val="24"/>
              </w:rPr>
              <w:t>生物测序数据</w:t>
            </w:r>
            <w:r>
              <w:rPr>
                <w:rFonts w:hint="eastAsia"/>
                <w:sz w:val="24"/>
              </w:rPr>
              <w:t>A</w:t>
            </w:r>
            <w:r>
              <w:rPr>
                <w:sz w:val="24"/>
              </w:rPr>
              <w:t>ID1706</w:t>
            </w:r>
            <w:r>
              <w:rPr>
                <w:rFonts w:hint="eastAsia"/>
                <w:sz w:val="24"/>
              </w:rPr>
              <w:t>，以及靶点</w:t>
            </w:r>
            <w:r>
              <w:rPr>
                <w:rFonts w:cs="Segoe UI"/>
                <w:color w:val="24292F"/>
                <w:sz w:val="24"/>
                <w:shd w:val="clear" w:color="auto" w:fill="FFFFFF"/>
              </w:rPr>
              <w:t>SARS-CoV2 3CL Protease</w:t>
            </w:r>
            <w:r>
              <w:rPr>
                <w:rFonts w:cs="Segoe UI" w:hint="eastAsia"/>
                <w:color w:val="24292F"/>
                <w:sz w:val="24"/>
                <w:shd w:val="clear" w:color="auto" w:fill="FFFFFF"/>
              </w:rPr>
              <w:t>、</w:t>
            </w:r>
            <w:r>
              <w:rPr>
                <w:rFonts w:cs="Segoe UI"/>
                <w:color w:val="24292F"/>
                <w:sz w:val="24"/>
                <w:shd w:val="clear" w:color="auto" w:fill="FFFFFF"/>
              </w:rPr>
              <w:t>SARS_CoV2 RNA Polymerase</w:t>
            </w:r>
            <w:r>
              <w:rPr>
                <w:rFonts w:cs="Segoe UI" w:hint="eastAsia"/>
                <w:color w:val="24292F"/>
                <w:sz w:val="24"/>
                <w:shd w:val="clear" w:color="auto" w:fill="FFFFFF"/>
              </w:rPr>
              <w:t>、</w:t>
            </w:r>
            <w:r>
              <w:rPr>
                <w:rFonts w:cs="Segoe UI"/>
                <w:color w:val="24292F"/>
                <w:sz w:val="24"/>
                <w:shd w:val="clear" w:color="auto" w:fill="FFFFFF"/>
              </w:rPr>
              <w:t>SARS-CoV2 Helicase</w:t>
            </w:r>
            <w:r>
              <w:rPr>
                <w:rFonts w:cs="Segoe UI" w:hint="eastAsia"/>
                <w:color w:val="24292F"/>
                <w:sz w:val="24"/>
                <w:shd w:val="clear" w:color="auto" w:fill="FFFFFF"/>
              </w:rPr>
              <w:t>等</w:t>
            </w:r>
            <w:r>
              <w:rPr>
                <w:rFonts w:hint="eastAsia"/>
                <w:sz w:val="24"/>
              </w:rPr>
              <w:t>列出与</w:t>
            </w:r>
            <w:r>
              <w:rPr>
                <w:rFonts w:hint="eastAsia"/>
                <w:sz w:val="24"/>
              </w:rPr>
              <w:t>C</w:t>
            </w:r>
            <w:r>
              <w:rPr>
                <w:sz w:val="24"/>
              </w:rPr>
              <w:t>OVID-19</w:t>
            </w:r>
            <w:r>
              <w:rPr>
                <w:rFonts w:hint="eastAsia"/>
                <w:sz w:val="24"/>
              </w:rPr>
              <w:t>密切相关的靶点。选取出现在异构网络数据集中的靶点。基于训练好的模型和数据集中的这些目标，我们可以筛选出可能影响</w:t>
            </w:r>
            <w:r>
              <w:rPr>
                <w:rFonts w:hint="eastAsia"/>
                <w:sz w:val="24"/>
              </w:rPr>
              <w:t>C</w:t>
            </w:r>
            <w:r>
              <w:rPr>
                <w:sz w:val="24"/>
              </w:rPr>
              <w:t>OVID-19</w:t>
            </w:r>
            <w:r>
              <w:rPr>
                <w:rFonts w:hint="eastAsia"/>
                <w:sz w:val="24"/>
              </w:rPr>
              <w:t>的候选药物。通过这种方法，我们可以更快、更具体地找到后续湿实验的候选药物。</w:t>
            </w:r>
          </w:p>
          <w:p w14:paraId="09B8CDC7" w14:textId="77777777" w:rsidR="00E22223" w:rsidRDefault="00E22223">
            <w:pPr>
              <w:ind w:rightChars="21" w:right="44"/>
              <w:rPr>
                <w:sz w:val="24"/>
              </w:rPr>
            </w:pPr>
          </w:p>
          <w:p w14:paraId="11BAFCD3" w14:textId="77777777" w:rsidR="00E22223" w:rsidRDefault="00000000">
            <w:pPr>
              <w:pStyle w:val="dachuang3"/>
            </w:pPr>
            <w:r>
              <w:rPr>
                <w:rFonts w:hint="eastAsia"/>
              </w:rPr>
              <w:t>模型评估</w:t>
            </w:r>
          </w:p>
          <w:p w14:paraId="4D81E09A" w14:textId="77777777" w:rsidR="00E22223" w:rsidRDefault="00000000">
            <w:pPr>
              <w:ind w:rightChars="21" w:right="44" w:firstLineChars="202" w:firstLine="485"/>
              <w:rPr>
                <w:sz w:val="24"/>
              </w:rPr>
            </w:pPr>
            <w:r>
              <w:rPr>
                <w:rFonts w:hint="eastAsia"/>
                <w:sz w:val="24"/>
              </w:rPr>
              <w:t>本项目基于基础数据集，以端到端的方式训练模型，模型参数可以更有效地更新。分析模型中涉及的参数，获得一组最优模型参数。将本文提出的模型在两个数据集上与其他方法进行比较，以验证其优越性。</w:t>
            </w:r>
          </w:p>
          <w:p w14:paraId="0A924565" w14:textId="77777777" w:rsidR="00E22223" w:rsidRDefault="00000000">
            <w:pPr>
              <w:ind w:rightChars="21" w:right="44" w:firstLineChars="202" w:firstLine="485"/>
              <w:rPr>
                <w:sz w:val="24"/>
              </w:rPr>
            </w:pPr>
            <w:r>
              <w:rPr>
                <w:rFonts w:hint="eastAsia"/>
                <w:sz w:val="24"/>
              </w:rPr>
              <w:t>采用二元交叉熵作为损失函数，以接收器操作特征下的面积（</w:t>
            </w:r>
            <w:r>
              <w:rPr>
                <w:rFonts w:hint="eastAsia"/>
                <w:sz w:val="24"/>
              </w:rPr>
              <w:t>R</w:t>
            </w:r>
            <w:r>
              <w:rPr>
                <w:sz w:val="24"/>
              </w:rPr>
              <w:t>OC-AUC</w:t>
            </w:r>
            <w:r>
              <w:rPr>
                <w:rFonts w:hint="eastAsia"/>
                <w:sz w:val="24"/>
              </w:rPr>
              <w:t>）、精确召回下的面积（</w:t>
            </w:r>
            <w:r>
              <w:rPr>
                <w:sz w:val="24"/>
              </w:rPr>
              <w:t>PR-AUC</w:t>
            </w:r>
            <w:r>
              <w:rPr>
                <w:rFonts w:hint="eastAsia"/>
                <w:sz w:val="24"/>
              </w:rPr>
              <w:t>）和</w:t>
            </w:r>
            <w:r>
              <w:rPr>
                <w:rFonts w:hint="eastAsia"/>
                <w:sz w:val="24"/>
              </w:rPr>
              <w:t xml:space="preserve"> F1</w:t>
            </w:r>
            <w:r>
              <w:rPr>
                <w:rFonts w:hint="eastAsia"/>
                <w:sz w:val="24"/>
              </w:rPr>
              <w:t>评分作为性能指标。</w:t>
            </w:r>
          </w:p>
          <w:p w14:paraId="287CF82D" w14:textId="77777777" w:rsidR="00E22223" w:rsidRDefault="00000000">
            <w:pPr>
              <w:ind w:rightChars="21" w:right="44" w:firstLineChars="202" w:firstLine="485"/>
              <w:rPr>
                <w:sz w:val="24"/>
              </w:rPr>
            </w:pPr>
            <w:r>
              <w:rPr>
                <w:rFonts w:hint="eastAsia"/>
                <w:sz w:val="24"/>
              </w:rPr>
              <w:t>预测未知的药物</w:t>
            </w:r>
            <w:r>
              <w:rPr>
                <w:sz w:val="24"/>
              </w:rPr>
              <w:t>-</w:t>
            </w:r>
            <w:r>
              <w:rPr>
                <w:rFonts w:hint="eastAsia"/>
                <w:sz w:val="24"/>
              </w:rPr>
              <w:t>靶点互作用关系看作为一个分类问题，即若某种药物和某个靶点之间存在已知的互作用关系，可以用类标签“</w:t>
            </w:r>
            <w:r>
              <w:rPr>
                <w:sz w:val="24"/>
              </w:rPr>
              <w:t>1</w:t>
            </w:r>
            <w:r>
              <w:rPr>
                <w:rFonts w:hint="eastAsia"/>
                <w:sz w:val="24"/>
              </w:rPr>
              <w:t>”来代表，反之，若它们之间的互作用关系为未知的，可以用类标签“</w:t>
            </w:r>
            <w:r>
              <w:rPr>
                <w:sz w:val="24"/>
              </w:rPr>
              <w:t>0</w:t>
            </w:r>
            <w:r>
              <w:rPr>
                <w:rFonts w:hint="eastAsia"/>
                <w:sz w:val="24"/>
              </w:rPr>
              <w:t>”来代表。而在进行二元分类时，预测结果与真实值的对比可以产生四种结果：（</w:t>
            </w:r>
            <w:r>
              <w:rPr>
                <w:sz w:val="24"/>
              </w:rPr>
              <w:t>1</w:t>
            </w:r>
            <w:r>
              <w:rPr>
                <w:sz w:val="24"/>
              </w:rPr>
              <w:t>）</w:t>
            </w:r>
            <w:r>
              <w:rPr>
                <w:rFonts w:hint="eastAsia"/>
                <w:sz w:val="24"/>
              </w:rPr>
              <w:t>真阳性</w:t>
            </w:r>
            <w:r>
              <w:rPr>
                <w:sz w:val="24"/>
              </w:rPr>
              <w:t>（</w:t>
            </w:r>
            <w:r>
              <w:rPr>
                <w:sz w:val="24"/>
              </w:rPr>
              <w:t>True Positive=TP</w:t>
            </w:r>
            <w:r>
              <w:rPr>
                <w:sz w:val="24"/>
              </w:rPr>
              <w:t>）</w:t>
            </w:r>
            <w:r>
              <w:rPr>
                <w:rFonts w:hint="eastAsia"/>
                <w:sz w:val="24"/>
              </w:rPr>
              <w:t>：真实值是正例，预测结果为正例。即分类器将正例分类正确。</w:t>
            </w:r>
            <w:r>
              <w:rPr>
                <w:sz w:val="24"/>
              </w:rPr>
              <w:t>（</w:t>
            </w:r>
            <w:r>
              <w:rPr>
                <w:sz w:val="24"/>
              </w:rPr>
              <w:t>2</w:t>
            </w:r>
            <w:r>
              <w:rPr>
                <w:sz w:val="24"/>
              </w:rPr>
              <w:t>）</w:t>
            </w:r>
            <w:r>
              <w:rPr>
                <w:rFonts w:hint="eastAsia"/>
                <w:sz w:val="24"/>
              </w:rPr>
              <w:t>假阴性</w:t>
            </w:r>
            <w:r>
              <w:rPr>
                <w:sz w:val="24"/>
              </w:rPr>
              <w:t>（</w:t>
            </w:r>
            <w:r>
              <w:rPr>
                <w:sz w:val="24"/>
              </w:rPr>
              <w:t>False Negative=FN</w:t>
            </w:r>
            <w:r>
              <w:rPr>
                <w:sz w:val="24"/>
              </w:rPr>
              <w:t>）</w:t>
            </w:r>
            <w:r>
              <w:rPr>
                <w:rFonts w:hint="eastAsia"/>
                <w:sz w:val="24"/>
              </w:rPr>
              <w:t>：真实值是正例，预测结果为负例。即分类器将正例错误分类成负例。</w:t>
            </w:r>
            <w:r>
              <w:rPr>
                <w:sz w:val="24"/>
              </w:rPr>
              <w:t>（</w:t>
            </w:r>
            <w:r>
              <w:rPr>
                <w:sz w:val="24"/>
              </w:rPr>
              <w:t>3</w:t>
            </w:r>
            <w:r>
              <w:rPr>
                <w:sz w:val="24"/>
              </w:rPr>
              <w:t>）</w:t>
            </w:r>
            <w:r>
              <w:rPr>
                <w:rFonts w:hint="eastAsia"/>
                <w:sz w:val="24"/>
              </w:rPr>
              <w:t>假阳性</w:t>
            </w:r>
            <w:r>
              <w:rPr>
                <w:sz w:val="24"/>
              </w:rPr>
              <w:t>（</w:t>
            </w:r>
            <w:r>
              <w:rPr>
                <w:sz w:val="24"/>
              </w:rPr>
              <w:t>False Positive=FP</w:t>
            </w:r>
            <w:r>
              <w:rPr>
                <w:sz w:val="24"/>
              </w:rPr>
              <w:t>）</w:t>
            </w:r>
            <w:r>
              <w:rPr>
                <w:rFonts w:hint="eastAsia"/>
                <w:sz w:val="24"/>
              </w:rPr>
              <w:t>：真实值是负例，预测结果为正例。即分类器将负例错误分为正例</w:t>
            </w:r>
            <w:r>
              <w:rPr>
                <w:sz w:val="24"/>
              </w:rPr>
              <w:t>（</w:t>
            </w:r>
            <w:r>
              <w:rPr>
                <w:sz w:val="24"/>
              </w:rPr>
              <w:t>4</w:t>
            </w:r>
            <w:r>
              <w:rPr>
                <w:sz w:val="24"/>
              </w:rPr>
              <w:t>）</w:t>
            </w:r>
            <w:r>
              <w:rPr>
                <w:rFonts w:hint="eastAsia"/>
                <w:sz w:val="24"/>
              </w:rPr>
              <w:t>真阴性</w:t>
            </w:r>
            <w:r>
              <w:rPr>
                <w:sz w:val="24"/>
              </w:rPr>
              <w:t>（</w:t>
            </w:r>
            <w:r>
              <w:rPr>
                <w:sz w:val="24"/>
              </w:rPr>
              <w:t>True Negative=TN</w:t>
            </w:r>
            <w:r>
              <w:rPr>
                <w:sz w:val="24"/>
              </w:rPr>
              <w:t>）</w:t>
            </w:r>
            <w:r>
              <w:rPr>
                <w:rFonts w:hint="eastAsia"/>
                <w:sz w:val="24"/>
              </w:rPr>
              <w:t>：真实值是负例，预测结果为负例。即分类器正确的分类了负例。</w:t>
            </w:r>
          </w:p>
          <w:p w14:paraId="5D49B0EF" w14:textId="77777777" w:rsidR="00E22223" w:rsidRDefault="00000000">
            <w:pPr>
              <w:ind w:rightChars="21" w:right="44" w:firstLineChars="202" w:firstLine="485"/>
              <w:rPr>
                <w:sz w:val="24"/>
              </w:rPr>
            </w:pPr>
            <w:r>
              <w:rPr>
                <w:rFonts w:hint="eastAsia"/>
                <w:sz w:val="24"/>
              </w:rPr>
              <w:t>为了评估抗新冠病毒药物预筛选模型的泛化能力，该模型为测试样本产生一个预测分数，然后设定一个阈值（</w:t>
            </w:r>
            <w:r>
              <w:rPr>
                <w:rFonts w:hint="eastAsia"/>
                <w:sz w:val="24"/>
              </w:rPr>
              <w:t>threshold</w:t>
            </w:r>
            <w:r>
              <w:rPr>
                <w:rFonts w:hint="eastAsia"/>
                <w:sz w:val="24"/>
              </w:rPr>
              <w:t>）与预测得分进行对比，若样本的预测分数大于阈值则将该样本分类为正例，反之将其分类为负例。根据这个预测得分，可以将测试样本进行排序，“最可能”是正例的排在最前面，“最不可能”是正例的排在最后面。这样，分类过程就相当于在这个排序中以某个“截断点”（</w:t>
            </w:r>
            <w:r>
              <w:rPr>
                <w:rFonts w:hint="eastAsia"/>
                <w:sz w:val="24"/>
              </w:rPr>
              <w:t>cut point</w:t>
            </w:r>
            <w:r>
              <w:rPr>
                <w:rFonts w:hint="eastAsia"/>
                <w:sz w:val="24"/>
              </w:rPr>
              <w:t>）将样本分为两部分，前一部分视作正例，后一部分则视作负例。然后根据预测结果对样例进行排序，按此顺序逐个把样本作为正例进行预测，每次都计算出两个重要的值的真正例比率（</w:t>
            </w:r>
            <w:r>
              <w:rPr>
                <w:rFonts w:hint="eastAsia"/>
                <w:sz w:val="24"/>
              </w:rPr>
              <w:t>True Positive Rate</w:t>
            </w:r>
            <w:r>
              <w:rPr>
                <w:rFonts w:hint="eastAsia"/>
                <w:sz w:val="24"/>
              </w:rPr>
              <w:t>，</w:t>
            </w:r>
            <w:r>
              <w:rPr>
                <w:rFonts w:hint="eastAsia"/>
                <w:sz w:val="24"/>
              </w:rPr>
              <w:t>TPR</w:t>
            </w:r>
            <w:r>
              <w:rPr>
                <w:rFonts w:hint="eastAsia"/>
                <w:sz w:val="24"/>
              </w:rPr>
              <w:t>）和假正例比率（</w:t>
            </w:r>
            <w:r>
              <w:rPr>
                <w:rFonts w:hint="eastAsia"/>
                <w:sz w:val="24"/>
              </w:rPr>
              <w:t>False Positive Rate</w:t>
            </w:r>
            <w:r>
              <w:rPr>
                <w:rFonts w:hint="eastAsia"/>
                <w:sz w:val="24"/>
              </w:rPr>
              <w:t>，</w:t>
            </w:r>
            <w:r>
              <w:rPr>
                <w:rFonts w:hint="eastAsia"/>
                <w:sz w:val="24"/>
              </w:rPr>
              <w:t>FPR</w:t>
            </w:r>
            <w:r>
              <w:rPr>
                <w:rFonts w:hint="eastAsia"/>
                <w:sz w:val="24"/>
              </w:rPr>
              <w:t>）</w:t>
            </w:r>
          </w:p>
          <w:p w14:paraId="6F15B1D0" w14:textId="77777777" w:rsidR="00E22223" w:rsidRDefault="00000000">
            <w:pPr>
              <w:ind w:rightChars="21" w:right="44" w:firstLineChars="202" w:firstLine="487"/>
              <w:jc w:val="center"/>
              <w:rPr>
                <w:b/>
                <w:bCs/>
                <w:color w:val="000000" w:themeColor="text1"/>
                <w:sz w:val="24"/>
              </w:rPr>
            </w:pPr>
            <w:r>
              <w:rPr>
                <w:b/>
                <w:bCs/>
                <w:color w:val="000000" w:themeColor="text1"/>
                <w:position w:val="-63"/>
                <w:sz w:val="24"/>
              </w:rPr>
              <w:object w:dxaOrig="1924" w:dyaOrig="1407" w14:anchorId="6DF65D53">
                <v:shape id="_x0000_i1070" type="#_x0000_t75" style="width:96.2pt;height:70.35pt" o:ole="">
                  <v:imagedata r:id="rId111" o:title=""/>
                </v:shape>
                <o:OLEObject Type="Embed" ProgID="Equation.AxMath" ShapeID="_x0000_i1070" DrawAspect="Content" ObjectID="_1730276174" r:id="rId112"/>
              </w:object>
            </w:r>
          </w:p>
          <w:p w14:paraId="2E537578" w14:textId="77777777" w:rsidR="00E22223" w:rsidRDefault="00000000">
            <w:pPr>
              <w:ind w:rightChars="21" w:right="44" w:firstLineChars="202" w:firstLine="485"/>
              <w:rPr>
                <w:sz w:val="24"/>
              </w:rPr>
            </w:pPr>
            <w:r>
              <w:rPr>
                <w:rFonts w:hint="eastAsia"/>
                <w:sz w:val="24"/>
              </w:rPr>
              <w:t>分别以</w:t>
            </w:r>
            <w:r>
              <w:rPr>
                <w:rFonts w:hint="eastAsia"/>
                <w:sz w:val="24"/>
              </w:rPr>
              <w:t xml:space="preserve"> TPR </w:t>
            </w:r>
            <w:r>
              <w:rPr>
                <w:rFonts w:hint="eastAsia"/>
                <w:sz w:val="24"/>
              </w:rPr>
              <w:t>和</w:t>
            </w:r>
            <w:r>
              <w:rPr>
                <w:rFonts w:hint="eastAsia"/>
                <w:sz w:val="24"/>
              </w:rPr>
              <w:t xml:space="preserve"> FPR </w:t>
            </w:r>
            <w:r>
              <w:rPr>
                <w:rFonts w:hint="eastAsia"/>
                <w:sz w:val="24"/>
              </w:rPr>
              <w:t>为横、纵轴作图，便可以得到</w:t>
            </w:r>
            <w:r>
              <w:rPr>
                <w:rFonts w:hint="eastAsia"/>
                <w:sz w:val="24"/>
              </w:rPr>
              <w:t xml:space="preserve"> ROC </w:t>
            </w:r>
            <w:r>
              <w:rPr>
                <w:rFonts w:hint="eastAsia"/>
                <w:sz w:val="24"/>
              </w:rPr>
              <w:t>曲线。利用</w:t>
            </w:r>
            <w:r>
              <w:rPr>
                <w:rFonts w:hint="eastAsia"/>
                <w:sz w:val="24"/>
              </w:rPr>
              <w:t xml:space="preserve"> ROC </w:t>
            </w:r>
            <w:r>
              <w:rPr>
                <w:rFonts w:hint="eastAsia"/>
                <w:sz w:val="24"/>
              </w:rPr>
              <w:t>曲线比较不同的预测模型的预测效果时，若一个模型的</w:t>
            </w:r>
            <w:r>
              <w:rPr>
                <w:rFonts w:hint="eastAsia"/>
                <w:sz w:val="24"/>
              </w:rPr>
              <w:t xml:space="preserve"> ROC </w:t>
            </w:r>
            <w:r>
              <w:rPr>
                <w:rFonts w:hint="eastAsia"/>
                <w:sz w:val="24"/>
              </w:rPr>
              <w:t>曲线被另一个模型的</w:t>
            </w:r>
            <w:r>
              <w:rPr>
                <w:rFonts w:hint="eastAsia"/>
                <w:sz w:val="24"/>
              </w:rPr>
              <w:t xml:space="preserve"> ROC</w:t>
            </w:r>
            <w:r>
              <w:rPr>
                <w:rFonts w:hint="eastAsia"/>
                <w:sz w:val="24"/>
              </w:rPr>
              <w:t>曲线盖住，则可直接判定后者的预测性能比前者强；若两个模型的</w:t>
            </w:r>
            <w:r>
              <w:rPr>
                <w:rFonts w:hint="eastAsia"/>
                <w:sz w:val="24"/>
              </w:rPr>
              <w:t xml:space="preserve"> ROC  </w:t>
            </w:r>
            <w:r>
              <w:rPr>
                <w:rFonts w:hint="eastAsia"/>
                <w:sz w:val="24"/>
              </w:rPr>
              <w:t>曲线互有交叉，则不能简单地分辨两个模型性能的强弱。此时，可以通过另一个指标</w:t>
            </w:r>
            <w:r>
              <w:rPr>
                <w:rFonts w:hint="eastAsia"/>
                <w:sz w:val="24"/>
              </w:rPr>
              <w:t xml:space="preserve">ROC </w:t>
            </w:r>
            <w:r>
              <w:rPr>
                <w:rFonts w:hint="eastAsia"/>
                <w:sz w:val="24"/>
              </w:rPr>
              <w:t>曲线下方的面积</w:t>
            </w:r>
            <w:r>
              <w:rPr>
                <w:rFonts w:hint="eastAsia"/>
                <w:sz w:val="24"/>
              </w:rPr>
              <w:t xml:space="preserve"> AUC</w:t>
            </w:r>
            <w:r>
              <w:rPr>
                <w:rFonts w:hint="eastAsia"/>
                <w:sz w:val="24"/>
              </w:rPr>
              <w:t>（</w:t>
            </w:r>
            <w:r>
              <w:rPr>
                <w:rFonts w:hint="eastAsia"/>
                <w:sz w:val="24"/>
              </w:rPr>
              <w:t>Area Under ROC Curve</w:t>
            </w:r>
            <w:r>
              <w:rPr>
                <w:rFonts w:hint="eastAsia"/>
                <w:sz w:val="24"/>
              </w:rPr>
              <w:t>）来进行比较。通过计算</w:t>
            </w:r>
            <w:r>
              <w:rPr>
                <w:rFonts w:hint="eastAsia"/>
                <w:sz w:val="24"/>
              </w:rPr>
              <w:t xml:space="preserve"> AUC</w:t>
            </w:r>
            <w:r>
              <w:rPr>
                <w:rFonts w:hint="eastAsia"/>
                <w:sz w:val="24"/>
              </w:rPr>
              <w:t>曲线下方各个部分的面积并求和，即可得到相应的</w:t>
            </w:r>
            <w:r>
              <w:rPr>
                <w:rFonts w:hint="eastAsia"/>
                <w:sz w:val="24"/>
              </w:rPr>
              <w:t xml:space="preserve"> AUC </w:t>
            </w:r>
            <w:r>
              <w:rPr>
                <w:rFonts w:hint="eastAsia"/>
                <w:sz w:val="24"/>
              </w:rPr>
              <w:t>值。</w:t>
            </w:r>
            <w:r>
              <w:rPr>
                <w:rFonts w:hint="eastAsia"/>
                <w:color w:val="000000" w:themeColor="text1"/>
                <w:sz w:val="24"/>
              </w:rPr>
              <w:t>假定</w:t>
            </w:r>
            <w:r>
              <w:rPr>
                <w:rFonts w:hint="eastAsia"/>
                <w:color w:val="000000" w:themeColor="text1"/>
                <w:sz w:val="24"/>
              </w:rPr>
              <w:t>R</w:t>
            </w:r>
            <w:r>
              <w:rPr>
                <w:color w:val="000000" w:themeColor="text1"/>
                <w:sz w:val="24"/>
              </w:rPr>
              <w:t>OC</w:t>
            </w:r>
            <w:r>
              <w:rPr>
                <w:rFonts w:hint="eastAsia"/>
                <w:color w:val="000000" w:themeColor="text1"/>
                <w:sz w:val="24"/>
              </w:rPr>
              <w:t>曲线是坐标为</w:t>
            </w:r>
            <w:r>
              <w:rPr>
                <w:color w:val="000000" w:themeColor="text1"/>
                <w:position w:val="-13"/>
                <w:sz w:val="24"/>
              </w:rPr>
              <w:object w:dxaOrig="3122" w:dyaOrig="385" w14:anchorId="1F671D09">
                <v:shape id="_x0000_i1071" type="#_x0000_t75" style="width:156.1pt;height:19.25pt" o:ole="">
                  <v:imagedata r:id="rId113" o:title=""/>
                </v:shape>
                <o:OLEObject Type="Embed" ProgID="Equation.AxMath" ShapeID="_x0000_i1071" DrawAspect="Content" ObjectID="_1730276175" r:id="rId114"/>
              </w:object>
            </w:r>
            <w:r>
              <w:rPr>
                <w:rFonts w:hint="eastAsia"/>
                <w:color w:val="000000" w:themeColor="text1"/>
                <w:sz w:val="24"/>
              </w:rPr>
              <w:t>的点按序连接形成的</w:t>
            </w:r>
            <w:r>
              <w:rPr>
                <w:color w:val="000000" w:themeColor="text1"/>
                <w:position w:val="-12"/>
                <w:sz w:val="24"/>
              </w:rPr>
              <w:object w:dxaOrig="1649" w:dyaOrig="374" w14:anchorId="51D19AB1">
                <v:shape id="_x0000_i1072" type="#_x0000_t75" style="width:82.45pt;height:18.7pt" o:ole="">
                  <v:imagedata r:id="rId115" o:title=""/>
                </v:shape>
                <o:OLEObject Type="Embed" ProgID="Equation.AxMath" ShapeID="_x0000_i1072" DrawAspect="Content" ObjectID="_1730276176" r:id="rId116"/>
              </w:object>
            </w:r>
            <w:r>
              <w:rPr>
                <w:rFonts w:hint="eastAsia"/>
                <w:color w:val="000000" w:themeColor="text1"/>
                <w:sz w:val="24"/>
              </w:rPr>
              <w:t>，则</w:t>
            </w:r>
            <w:r>
              <w:rPr>
                <w:rFonts w:hint="eastAsia"/>
                <w:color w:val="000000" w:themeColor="text1"/>
                <w:sz w:val="24"/>
              </w:rPr>
              <w:t>R</w:t>
            </w:r>
            <w:r>
              <w:rPr>
                <w:color w:val="000000" w:themeColor="text1"/>
                <w:sz w:val="24"/>
              </w:rPr>
              <w:t>OC-AUC</w:t>
            </w:r>
            <w:r>
              <w:rPr>
                <w:rFonts w:hint="eastAsia"/>
                <w:color w:val="000000" w:themeColor="text1"/>
                <w:sz w:val="24"/>
              </w:rPr>
              <w:t>估算为：</w:t>
            </w:r>
          </w:p>
          <w:p w14:paraId="52CE4EA4" w14:textId="77777777" w:rsidR="00E22223" w:rsidRDefault="00000000">
            <w:pPr>
              <w:tabs>
                <w:tab w:val="center" w:pos="4150"/>
                <w:tab w:val="right" w:pos="8300"/>
              </w:tabs>
              <w:snapToGrid w:val="0"/>
              <w:ind w:rightChars="21" w:right="44" w:firstLineChars="200" w:firstLine="480"/>
              <w:rPr>
                <w:color w:val="000000" w:themeColor="text1"/>
                <w:sz w:val="24"/>
              </w:rPr>
            </w:pPr>
            <w:r>
              <w:rPr>
                <w:color w:val="000000" w:themeColor="text1"/>
                <w:sz w:val="24"/>
              </w:rPr>
              <w:tab/>
            </w:r>
            <w:r>
              <w:rPr>
                <w:color w:val="000000" w:themeColor="text1"/>
                <w:position w:val="-31"/>
                <w:sz w:val="24"/>
              </w:rPr>
              <w:object w:dxaOrig="4694" w:dyaOrig="758" w14:anchorId="71284985">
                <v:shape id="_x0000_i1073" type="#_x0000_t75" style="width:234.7pt;height:37.9pt" o:ole="">
                  <v:imagedata r:id="rId117" o:title=""/>
                </v:shape>
                <o:OLEObject Type="Embed" ProgID="Equation.AxMath" ShapeID="_x0000_i1073" DrawAspect="Content" ObjectID="_1730276177" r:id="rId118"/>
              </w:object>
            </w:r>
          </w:p>
          <w:p w14:paraId="4FABBF72" w14:textId="77777777" w:rsidR="00E22223" w:rsidRDefault="00000000">
            <w:pPr>
              <w:ind w:rightChars="21" w:right="44" w:firstLineChars="202" w:firstLine="485"/>
              <w:rPr>
                <w:sz w:val="24"/>
              </w:rPr>
            </w:pPr>
            <w:r>
              <w:rPr>
                <w:sz w:val="24"/>
              </w:rPr>
              <w:t xml:space="preserve">PR </w:t>
            </w:r>
            <w:r>
              <w:rPr>
                <w:rFonts w:hint="eastAsia"/>
                <w:sz w:val="24"/>
              </w:rPr>
              <w:t>曲线与</w:t>
            </w:r>
            <w:r>
              <w:rPr>
                <w:rFonts w:hint="eastAsia"/>
                <w:sz w:val="24"/>
              </w:rPr>
              <w:t xml:space="preserve"> </w:t>
            </w:r>
            <w:r>
              <w:rPr>
                <w:sz w:val="24"/>
              </w:rPr>
              <w:t xml:space="preserve">AUC </w:t>
            </w:r>
            <w:r>
              <w:rPr>
                <w:rFonts w:hint="eastAsia"/>
                <w:sz w:val="24"/>
              </w:rPr>
              <w:t>曲线类似，将模型的预测结果进行排序，排名靠前的是模型认为“最大可能”是正例的样本，排名最后的则是学习器认为“最不可能”是正例的样本。按此顺序逐个把样本作为正例进行预测，则每次可以计算出当前的准确率（</w:t>
            </w:r>
            <w:r>
              <w:rPr>
                <w:rFonts w:hint="eastAsia"/>
                <w:sz w:val="24"/>
              </w:rPr>
              <w:t>precision</w:t>
            </w:r>
            <w:r>
              <w:rPr>
                <w:rFonts w:hint="eastAsia"/>
                <w:sz w:val="24"/>
              </w:rPr>
              <w:t>）和召回率（</w:t>
            </w:r>
            <w:r>
              <w:rPr>
                <w:rFonts w:hint="eastAsia"/>
                <w:sz w:val="24"/>
              </w:rPr>
              <w:t>recall</w:t>
            </w:r>
            <w:r>
              <w:rPr>
                <w:rFonts w:hint="eastAsia"/>
                <w:sz w:val="24"/>
              </w:rPr>
              <w:t>）。以召回率为横轴、准确率为纵轴作图，就得到了</w:t>
            </w:r>
            <w:r>
              <w:rPr>
                <w:rFonts w:hint="eastAsia"/>
                <w:sz w:val="24"/>
              </w:rPr>
              <w:t xml:space="preserve"> PR </w:t>
            </w:r>
            <w:r>
              <w:rPr>
                <w:rFonts w:hint="eastAsia"/>
                <w:sz w:val="24"/>
              </w:rPr>
              <w:t>曲线。根据上述描述，准确率和召回率分别定义为：</w:t>
            </w:r>
          </w:p>
          <w:p w14:paraId="0ADC5867" w14:textId="77777777" w:rsidR="00E22223" w:rsidRDefault="00000000">
            <w:pPr>
              <w:ind w:rightChars="21" w:right="44" w:firstLineChars="202" w:firstLine="485"/>
              <w:jc w:val="center"/>
              <w:rPr>
                <w:sz w:val="24"/>
              </w:rPr>
            </w:pPr>
            <w:r>
              <w:rPr>
                <w:position w:val="-63"/>
                <w:sz w:val="24"/>
              </w:rPr>
              <w:object w:dxaOrig="1594" w:dyaOrig="1407" w14:anchorId="31996FA0">
                <v:shape id="_x0000_i1074" type="#_x0000_t75" style="width:79.7pt;height:70.35pt" o:ole="">
                  <v:imagedata r:id="rId119" o:title=""/>
                </v:shape>
                <o:OLEObject Type="Embed" ProgID="Equation.AxMath" ShapeID="_x0000_i1074" DrawAspect="Content" ObjectID="_1730276178" r:id="rId120"/>
              </w:object>
            </w:r>
          </w:p>
          <w:p w14:paraId="42380EAE" w14:textId="77777777" w:rsidR="00E22223" w:rsidRDefault="00000000">
            <w:pPr>
              <w:snapToGrid w:val="0"/>
              <w:ind w:rightChars="21" w:right="44" w:firstLineChars="202" w:firstLine="485"/>
              <w:rPr>
                <w:sz w:val="24"/>
              </w:rPr>
            </w:pPr>
            <w:r>
              <w:rPr>
                <w:rFonts w:hint="eastAsia"/>
                <w:sz w:val="24"/>
              </w:rPr>
              <w:t>其中，</w:t>
            </w:r>
            <w:r>
              <w:rPr>
                <w:rFonts w:hint="eastAsia"/>
                <w:sz w:val="24"/>
              </w:rPr>
              <w:t>T</w:t>
            </w:r>
            <w:r>
              <w:rPr>
                <w:sz w:val="24"/>
              </w:rPr>
              <w:t>P</w:t>
            </w:r>
            <w:r>
              <w:rPr>
                <w:rFonts w:hint="eastAsia"/>
                <w:sz w:val="24"/>
              </w:rPr>
              <w:t>是真正例，</w:t>
            </w:r>
            <w:r>
              <w:rPr>
                <w:rFonts w:hint="eastAsia"/>
                <w:sz w:val="24"/>
              </w:rPr>
              <w:t>F</w:t>
            </w:r>
            <w:r>
              <w:rPr>
                <w:sz w:val="24"/>
              </w:rPr>
              <w:t>N</w:t>
            </w:r>
            <w:r>
              <w:rPr>
                <w:rFonts w:hint="eastAsia"/>
                <w:sz w:val="24"/>
              </w:rPr>
              <w:t>是假反例，</w:t>
            </w:r>
            <w:r>
              <w:rPr>
                <w:rFonts w:hint="eastAsia"/>
                <w:sz w:val="24"/>
              </w:rPr>
              <w:t>F</w:t>
            </w:r>
            <w:r>
              <w:rPr>
                <w:sz w:val="24"/>
              </w:rPr>
              <w:t>P</w:t>
            </w:r>
            <w:r>
              <w:rPr>
                <w:rFonts w:hint="eastAsia"/>
                <w:sz w:val="24"/>
              </w:rPr>
              <w:t>是假正例。</w:t>
            </w:r>
            <w:r>
              <w:rPr>
                <w:rFonts w:hint="eastAsia"/>
                <w:sz w:val="24"/>
              </w:rPr>
              <w:t>P</w:t>
            </w:r>
            <w:r>
              <w:rPr>
                <w:sz w:val="24"/>
              </w:rPr>
              <w:t>R-AUC</w:t>
            </w:r>
            <w:r>
              <w:rPr>
                <w:rFonts w:hint="eastAsia"/>
                <w:sz w:val="24"/>
              </w:rPr>
              <w:t>为接收器操作特征下的面积，即</w:t>
            </w:r>
            <w:r>
              <w:rPr>
                <w:rFonts w:hint="eastAsia"/>
                <w:sz w:val="24"/>
              </w:rPr>
              <w:t>P</w:t>
            </w:r>
            <w:r>
              <w:rPr>
                <w:sz w:val="24"/>
              </w:rPr>
              <w:t>R</w:t>
            </w:r>
            <w:r>
              <w:rPr>
                <w:rFonts w:hint="eastAsia"/>
                <w:sz w:val="24"/>
              </w:rPr>
              <w:t>曲线下的面积。</w:t>
            </w:r>
            <w:r>
              <w:rPr>
                <w:b/>
                <w:bCs/>
                <w:color w:val="000000" w:themeColor="text1"/>
                <w:sz w:val="24"/>
              </w:rPr>
              <w:tab/>
            </w:r>
          </w:p>
          <w:p w14:paraId="7B9809F1" w14:textId="77777777" w:rsidR="00E22223" w:rsidRDefault="00000000">
            <w:pPr>
              <w:tabs>
                <w:tab w:val="center" w:pos="4150"/>
                <w:tab w:val="right" w:pos="8300"/>
              </w:tabs>
              <w:snapToGrid w:val="0"/>
              <w:ind w:rightChars="21" w:right="44" w:firstLineChars="200" w:firstLine="480"/>
              <w:rPr>
                <w:color w:val="000000" w:themeColor="text1"/>
                <w:sz w:val="24"/>
              </w:rPr>
            </w:pPr>
            <w:r>
              <w:rPr>
                <w:rFonts w:hint="eastAsia"/>
                <w:color w:val="000000" w:themeColor="text1"/>
                <w:sz w:val="24"/>
              </w:rPr>
              <w:t>F1</w:t>
            </w:r>
            <w:r>
              <w:rPr>
                <w:rFonts w:hint="eastAsia"/>
                <w:color w:val="000000" w:themeColor="text1"/>
                <w:sz w:val="24"/>
              </w:rPr>
              <w:t>评分是查准率和查全率的调和平均值，公式为：</w:t>
            </w:r>
          </w:p>
          <w:p w14:paraId="12C24F80" w14:textId="77777777" w:rsidR="00E22223" w:rsidRDefault="00000000">
            <w:pPr>
              <w:tabs>
                <w:tab w:val="center" w:pos="4150"/>
                <w:tab w:val="right" w:pos="8300"/>
              </w:tabs>
              <w:snapToGrid w:val="0"/>
              <w:ind w:rightChars="21" w:right="44"/>
              <w:rPr>
                <w:color w:val="000000" w:themeColor="text1"/>
                <w:sz w:val="24"/>
              </w:rPr>
            </w:pPr>
            <w:r>
              <w:rPr>
                <w:color w:val="000000" w:themeColor="text1"/>
                <w:sz w:val="24"/>
              </w:rPr>
              <w:tab/>
            </w:r>
            <w:r>
              <w:rPr>
                <w:color w:val="000000" w:themeColor="text1"/>
                <w:position w:val="-26"/>
                <w:sz w:val="24"/>
              </w:rPr>
              <w:object w:dxaOrig="1550" w:dyaOrig="671" w14:anchorId="665C0DC9">
                <v:shape id="_x0000_i1075" type="#_x0000_t75" style="width:77.5pt;height:33.55pt" o:ole="">
                  <v:imagedata r:id="rId121" o:title=""/>
                </v:shape>
                <o:OLEObject Type="Embed" ProgID="Equation.AxMath" ShapeID="_x0000_i1075" DrawAspect="Content" ObjectID="_1730276179" r:id="rId122"/>
              </w:object>
            </w:r>
          </w:p>
          <w:p w14:paraId="4370992C" w14:textId="77777777" w:rsidR="00E22223" w:rsidRDefault="00000000">
            <w:pPr>
              <w:tabs>
                <w:tab w:val="center" w:pos="4150"/>
                <w:tab w:val="right" w:pos="8300"/>
              </w:tabs>
              <w:snapToGrid w:val="0"/>
              <w:ind w:rightChars="21" w:right="44" w:firstLineChars="200" w:firstLine="480"/>
              <w:rPr>
                <w:color w:val="000000" w:themeColor="text1"/>
                <w:sz w:val="24"/>
              </w:rPr>
            </w:pPr>
            <w:r>
              <w:rPr>
                <w:rFonts w:hint="eastAsia"/>
                <w:color w:val="000000" w:themeColor="text1"/>
                <w:sz w:val="24"/>
              </w:rPr>
              <w:t>我们把药物靶点预测和药物发现作为链路预测的任务。由边连接的节点指示这是已知的相互作用或关联，而未由边连接的节点指示未发现的动作关系或没有关系。这是一个二元分类问题，其中已知的是正样本，未知的是负样本。我们的模型是在复杂异构网络中基于现有关系发现潜在未发现的动作关系。在进行对比实验时，首先考虑将所有未知对作为负样本，并采用十重交叉验证法划分训练集和测试集，取训练集样本的</w:t>
            </w:r>
            <w:r>
              <w:rPr>
                <w:rFonts w:hint="eastAsia"/>
                <w:color w:val="000000" w:themeColor="text1"/>
                <w:sz w:val="24"/>
              </w:rPr>
              <w:t>5%</w:t>
            </w:r>
            <w:r>
              <w:rPr>
                <w:rFonts w:hint="eastAsia"/>
                <w:color w:val="000000" w:themeColor="text1"/>
                <w:sz w:val="24"/>
              </w:rPr>
              <w:t>作为验证集。最后，对十个测试集的</w:t>
            </w:r>
            <w:r>
              <w:rPr>
                <w:rFonts w:hint="eastAsia"/>
                <w:color w:val="000000" w:themeColor="text1"/>
                <w:sz w:val="24"/>
              </w:rPr>
              <w:t>PR-AUC</w:t>
            </w:r>
            <w:r>
              <w:rPr>
                <w:rFonts w:hint="eastAsia"/>
                <w:color w:val="000000" w:themeColor="text1"/>
                <w:sz w:val="24"/>
              </w:rPr>
              <w:t>值求平均。并将其与其他基于异构网络的先进药物重新定位方法进行性能比较。</w:t>
            </w:r>
          </w:p>
          <w:p w14:paraId="51B10540" w14:textId="77777777" w:rsidR="00E22223" w:rsidRDefault="00000000">
            <w:pPr>
              <w:tabs>
                <w:tab w:val="center" w:pos="4150"/>
                <w:tab w:val="right" w:pos="8300"/>
              </w:tabs>
              <w:snapToGrid w:val="0"/>
              <w:ind w:rightChars="21" w:right="44" w:firstLineChars="200" w:firstLine="480"/>
              <w:rPr>
                <w:color w:val="000000" w:themeColor="text1"/>
                <w:sz w:val="24"/>
              </w:rPr>
            </w:pPr>
            <w:r>
              <w:rPr>
                <w:rFonts w:hint="eastAsia"/>
                <w:color w:val="000000" w:themeColor="text1"/>
                <w:sz w:val="24"/>
              </w:rPr>
              <w:t>具体来说，我们设计如下对比实验：</w:t>
            </w:r>
          </w:p>
          <w:p w14:paraId="0F23410B" w14:textId="77777777" w:rsidR="00E22223" w:rsidRDefault="00000000">
            <w:pPr>
              <w:pStyle w:val="af"/>
              <w:numPr>
                <w:ilvl w:val="0"/>
                <w:numId w:val="9"/>
              </w:numPr>
              <w:tabs>
                <w:tab w:val="center" w:pos="4150"/>
                <w:tab w:val="right" w:pos="8300"/>
              </w:tabs>
              <w:snapToGrid w:val="0"/>
              <w:ind w:rightChars="21" w:right="44" w:firstLineChars="0"/>
              <w:rPr>
                <w:color w:val="000000" w:themeColor="text1"/>
                <w:sz w:val="24"/>
              </w:rPr>
            </w:pPr>
            <w:r>
              <w:rPr>
                <w:rFonts w:hint="eastAsia"/>
                <w:color w:val="000000" w:themeColor="text1"/>
                <w:sz w:val="24"/>
              </w:rPr>
              <w:t>测试模型的节点表达。通过保留</w:t>
            </w:r>
            <w:r>
              <w:rPr>
                <w:rFonts w:hint="eastAsia"/>
                <w:color w:val="000000" w:themeColor="text1"/>
                <w:sz w:val="24"/>
              </w:rPr>
              <w:t>/</w:t>
            </w:r>
            <w:r>
              <w:rPr>
                <w:rFonts w:hint="eastAsia"/>
                <w:color w:val="000000" w:themeColor="text1"/>
                <w:sz w:val="24"/>
              </w:rPr>
              <w:t>去除模型的</w:t>
            </w:r>
            <w:r>
              <w:rPr>
                <w:rFonts w:hint="eastAsia"/>
                <w:color w:val="000000" w:themeColor="text1"/>
                <w:sz w:val="24"/>
              </w:rPr>
              <w:t>B</w:t>
            </w:r>
            <w:r>
              <w:rPr>
                <w:color w:val="000000" w:themeColor="text1"/>
                <w:sz w:val="24"/>
              </w:rPr>
              <w:t>ER</w:t>
            </w:r>
            <w:r>
              <w:rPr>
                <w:rFonts w:hint="eastAsia"/>
                <w:color w:val="000000" w:themeColor="text1"/>
                <w:sz w:val="24"/>
              </w:rPr>
              <w:t>T</w:t>
            </w:r>
            <w:r>
              <w:rPr>
                <w:rFonts w:hint="eastAsia"/>
                <w:color w:val="000000" w:themeColor="text1"/>
                <w:sz w:val="24"/>
              </w:rPr>
              <w:t>对节点的表达，观察模型的性能指标的变化。</w:t>
            </w:r>
          </w:p>
          <w:p w14:paraId="5682FFD6" w14:textId="77777777" w:rsidR="00E22223" w:rsidRDefault="00000000">
            <w:pPr>
              <w:pStyle w:val="af"/>
              <w:numPr>
                <w:ilvl w:val="0"/>
                <w:numId w:val="9"/>
              </w:numPr>
              <w:tabs>
                <w:tab w:val="center" w:pos="4150"/>
                <w:tab w:val="right" w:pos="8300"/>
              </w:tabs>
              <w:snapToGrid w:val="0"/>
              <w:ind w:rightChars="21" w:right="44" w:firstLineChars="0"/>
              <w:rPr>
                <w:color w:val="000000" w:themeColor="text1"/>
                <w:sz w:val="24"/>
              </w:rPr>
            </w:pPr>
            <w:r>
              <w:rPr>
                <w:rFonts w:hint="eastAsia"/>
                <w:color w:val="000000" w:themeColor="text1"/>
                <w:sz w:val="24"/>
              </w:rPr>
              <w:t>测试异构网络组成对模型性能的影响。通过改变组成异构网络的</w:t>
            </w:r>
            <w:r>
              <w:rPr>
                <w:rFonts w:hint="eastAsia"/>
                <w:color w:val="000000" w:themeColor="text1"/>
                <w:sz w:val="24"/>
              </w:rPr>
              <w:t>12</w:t>
            </w:r>
            <w:r>
              <w:rPr>
                <w:rFonts w:hint="eastAsia"/>
                <w:color w:val="000000" w:themeColor="text1"/>
                <w:sz w:val="24"/>
              </w:rPr>
              <w:t>种关系网络的组成及个数，测试模型的精确性，找到最优组合。</w:t>
            </w:r>
          </w:p>
          <w:p w14:paraId="7A9DA176" w14:textId="77777777" w:rsidR="00E22223" w:rsidRDefault="00000000">
            <w:pPr>
              <w:pStyle w:val="af"/>
              <w:numPr>
                <w:ilvl w:val="0"/>
                <w:numId w:val="9"/>
              </w:numPr>
              <w:tabs>
                <w:tab w:val="center" w:pos="4150"/>
                <w:tab w:val="right" w:pos="8300"/>
              </w:tabs>
              <w:snapToGrid w:val="0"/>
              <w:ind w:rightChars="21" w:right="44" w:firstLineChars="0"/>
              <w:rPr>
                <w:color w:val="000000" w:themeColor="text1"/>
                <w:sz w:val="24"/>
              </w:rPr>
            </w:pPr>
            <w:r>
              <w:rPr>
                <w:rFonts w:hint="eastAsia"/>
                <w:color w:val="000000" w:themeColor="text1"/>
                <w:sz w:val="24"/>
              </w:rPr>
              <w:t>测试训练数据量对预测精度的影响。通过改变交叉验证的次数来改</w:t>
            </w:r>
            <w:r>
              <w:rPr>
                <w:rFonts w:hint="eastAsia"/>
                <w:color w:val="000000" w:themeColor="text1"/>
                <w:sz w:val="24"/>
              </w:rPr>
              <w:lastRenderedPageBreak/>
              <w:t>变训练集的大小，并使用这些训练集来训练模型以比较预测精度。</w:t>
            </w:r>
          </w:p>
          <w:p w14:paraId="0C481B37" w14:textId="77777777" w:rsidR="00E22223" w:rsidRDefault="00000000">
            <w:pPr>
              <w:pStyle w:val="af"/>
              <w:numPr>
                <w:ilvl w:val="0"/>
                <w:numId w:val="9"/>
              </w:numPr>
              <w:tabs>
                <w:tab w:val="center" w:pos="4150"/>
                <w:tab w:val="right" w:pos="8300"/>
              </w:tabs>
              <w:snapToGrid w:val="0"/>
              <w:ind w:rightChars="21" w:right="44" w:firstLineChars="0"/>
              <w:rPr>
                <w:color w:val="000000" w:themeColor="text1"/>
                <w:sz w:val="24"/>
              </w:rPr>
            </w:pPr>
            <w:r>
              <w:rPr>
                <w:rFonts w:hint="eastAsia"/>
                <w:color w:val="000000" w:themeColor="text1"/>
                <w:sz w:val="24"/>
              </w:rPr>
              <w:tab/>
            </w:r>
            <w:r>
              <w:rPr>
                <w:rFonts w:hint="eastAsia"/>
                <w:color w:val="000000" w:themeColor="text1"/>
                <w:sz w:val="24"/>
              </w:rPr>
              <w:t>测试模型的参数及性能。利用同样的数据集，与其他基于异构网络的先进药物预测模型进行了性能比较；使用其他模型的数据集，得到本模型的预测结果并进行比较。</w:t>
            </w:r>
          </w:p>
          <w:p w14:paraId="4548BD76" w14:textId="77777777" w:rsidR="00E22223" w:rsidRDefault="00E22223">
            <w:pPr>
              <w:pStyle w:val="af"/>
              <w:tabs>
                <w:tab w:val="center" w:pos="4150"/>
                <w:tab w:val="right" w:pos="8300"/>
              </w:tabs>
              <w:snapToGrid w:val="0"/>
              <w:ind w:left="1200" w:rightChars="21" w:right="44" w:firstLineChars="0" w:firstLine="0"/>
              <w:rPr>
                <w:color w:val="000000" w:themeColor="text1"/>
                <w:sz w:val="24"/>
              </w:rPr>
            </w:pPr>
          </w:p>
          <w:p w14:paraId="12991F5A" w14:textId="77777777" w:rsidR="00E22223" w:rsidRDefault="00E22223">
            <w:pPr>
              <w:pStyle w:val="af"/>
              <w:tabs>
                <w:tab w:val="center" w:pos="4150"/>
                <w:tab w:val="right" w:pos="8300"/>
              </w:tabs>
              <w:snapToGrid w:val="0"/>
              <w:ind w:left="1200" w:rightChars="21" w:right="44" w:firstLineChars="0" w:firstLine="0"/>
              <w:rPr>
                <w:color w:val="000000" w:themeColor="text1"/>
                <w:sz w:val="24"/>
              </w:rPr>
            </w:pPr>
          </w:p>
          <w:p w14:paraId="17547E1D" w14:textId="77777777" w:rsidR="00E22223" w:rsidRDefault="00000000">
            <w:pPr>
              <w:pStyle w:val="af1"/>
              <w:numPr>
                <w:ilvl w:val="1"/>
                <w:numId w:val="5"/>
              </w:numPr>
              <w:ind w:left="709"/>
            </w:pPr>
            <w:r>
              <w:rPr>
                <w:rFonts w:hint="eastAsia"/>
              </w:rPr>
              <w:t>可行性分析</w:t>
            </w:r>
          </w:p>
          <w:p w14:paraId="1F76DDC7" w14:textId="77777777" w:rsidR="00E22223" w:rsidRDefault="00000000">
            <w:pPr>
              <w:pStyle w:val="ab"/>
              <w:numPr>
                <w:ilvl w:val="0"/>
                <w:numId w:val="10"/>
              </w:numPr>
            </w:pPr>
            <w:r>
              <w:t>项目理论基础方面</w:t>
            </w:r>
            <w:r>
              <w:t xml:space="preserve"> </w:t>
            </w:r>
          </w:p>
          <w:p w14:paraId="2E26DA75" w14:textId="77777777" w:rsidR="00E22223" w:rsidRDefault="00000000">
            <w:pPr>
              <w:ind w:rightChars="21" w:right="44" w:firstLineChars="200" w:firstLine="480"/>
              <w:jc w:val="left"/>
              <w:rPr>
                <w:sz w:val="24"/>
              </w:rPr>
            </w:pPr>
            <w:r>
              <w:rPr>
                <w:sz w:val="24"/>
              </w:rPr>
              <w:t>目前对于</w:t>
            </w:r>
            <w:r>
              <w:rPr>
                <w:rFonts w:hint="eastAsia"/>
                <w:sz w:val="24"/>
              </w:rPr>
              <w:t>深度学习在药物</w:t>
            </w:r>
            <w:r>
              <w:rPr>
                <w:rFonts w:hint="eastAsia"/>
                <w:sz w:val="24"/>
              </w:rPr>
              <w:t>-</w:t>
            </w:r>
            <w:r>
              <w:rPr>
                <w:rFonts w:hint="eastAsia"/>
                <w:sz w:val="24"/>
              </w:rPr>
              <w:t>靶点相互作用预测的应用</w:t>
            </w:r>
            <w:r>
              <w:rPr>
                <w:sz w:val="24"/>
              </w:rPr>
              <w:t>已有丰富的理论成果，如</w:t>
            </w:r>
            <w:r>
              <w:rPr>
                <w:sz w:val="24"/>
              </w:rPr>
              <w:t>N</w:t>
            </w:r>
            <w:r>
              <w:rPr>
                <w:rFonts w:hint="eastAsia"/>
                <w:sz w:val="24"/>
              </w:rPr>
              <w:t>eo</w:t>
            </w:r>
            <w:r>
              <w:rPr>
                <w:sz w:val="24"/>
              </w:rPr>
              <w:t>DTI</w:t>
            </w:r>
            <w:r>
              <w:rPr>
                <w:sz w:val="24"/>
              </w:rPr>
              <w:t>模型、</w:t>
            </w:r>
            <w:r>
              <w:rPr>
                <w:sz w:val="24"/>
              </w:rPr>
              <w:t>C</w:t>
            </w:r>
            <w:r>
              <w:rPr>
                <w:rFonts w:hint="eastAsia"/>
                <w:sz w:val="24"/>
              </w:rPr>
              <w:t>ombo</w:t>
            </w:r>
            <w:r>
              <w:rPr>
                <w:sz w:val="24"/>
              </w:rPr>
              <w:t>N</w:t>
            </w:r>
            <w:r>
              <w:rPr>
                <w:rFonts w:hint="eastAsia"/>
                <w:sz w:val="24"/>
              </w:rPr>
              <w:t>et</w:t>
            </w:r>
            <w:r>
              <w:rPr>
                <w:sz w:val="24"/>
              </w:rPr>
              <w:t>模型、</w:t>
            </w:r>
            <w:r>
              <w:rPr>
                <w:sz w:val="24"/>
              </w:rPr>
              <w:t>DeepConv-DTI</w:t>
            </w:r>
            <w:r>
              <w:rPr>
                <w:rFonts w:hint="eastAsia"/>
                <w:sz w:val="24"/>
              </w:rPr>
              <w:t>模型、</w:t>
            </w:r>
            <w:r>
              <w:rPr>
                <w:rFonts w:hint="eastAsia"/>
                <w:sz w:val="24"/>
              </w:rPr>
              <w:t>MolTrans</w:t>
            </w:r>
            <w:r>
              <w:rPr>
                <w:rFonts w:hint="eastAsia"/>
                <w:sz w:val="24"/>
              </w:rPr>
              <w:t>模型</w:t>
            </w:r>
            <w:r>
              <w:rPr>
                <w:sz w:val="24"/>
              </w:rPr>
              <w:t>等等，为项目提供理论支撑。</w:t>
            </w:r>
            <w:r>
              <w:rPr>
                <w:rFonts w:hint="eastAsia"/>
                <w:sz w:val="24"/>
              </w:rPr>
              <w:t>数据库具有成熟性、广泛性</w:t>
            </w:r>
            <w:r>
              <w:rPr>
                <w:sz w:val="24"/>
              </w:rPr>
              <w:t>，</w:t>
            </w:r>
            <w:r>
              <w:rPr>
                <w:rFonts w:hint="eastAsia"/>
                <w:sz w:val="24"/>
              </w:rPr>
              <w:t>Python</w:t>
            </w:r>
            <w:r>
              <w:rPr>
                <w:rFonts w:hint="eastAsia"/>
                <w:sz w:val="24"/>
              </w:rPr>
              <w:t>、</w:t>
            </w:r>
            <w:r>
              <w:rPr>
                <w:rFonts w:hint="eastAsia"/>
                <w:sz w:val="24"/>
              </w:rPr>
              <w:t>Anaconda</w:t>
            </w:r>
            <w:r>
              <w:rPr>
                <w:rFonts w:hint="eastAsia"/>
                <w:sz w:val="24"/>
              </w:rPr>
              <w:t>在</w:t>
            </w:r>
            <w:r>
              <w:rPr>
                <w:sz w:val="24"/>
              </w:rPr>
              <w:t>网络上</w:t>
            </w:r>
            <w:r>
              <w:rPr>
                <w:rFonts w:hint="eastAsia"/>
                <w:sz w:val="24"/>
              </w:rPr>
              <w:t>有</w:t>
            </w:r>
            <w:r>
              <w:rPr>
                <w:sz w:val="24"/>
              </w:rPr>
              <w:t>丰富的学习资料，同时依托指导老师团队的应用</w:t>
            </w:r>
            <w:r>
              <w:rPr>
                <w:rFonts w:hint="eastAsia"/>
                <w:sz w:val="24"/>
              </w:rPr>
              <w:t>经验</w:t>
            </w:r>
            <w:r>
              <w:rPr>
                <w:sz w:val="24"/>
              </w:rPr>
              <w:t>，能够顺利完成</w:t>
            </w:r>
            <w:r>
              <w:rPr>
                <w:rFonts w:hint="eastAsia"/>
                <w:sz w:val="24"/>
              </w:rPr>
              <w:t>模型的搭建与训练</w:t>
            </w:r>
            <w:r>
              <w:rPr>
                <w:sz w:val="24"/>
              </w:rPr>
              <w:t>。</w:t>
            </w:r>
          </w:p>
          <w:p w14:paraId="23979911" w14:textId="77777777" w:rsidR="00E22223" w:rsidRDefault="00000000">
            <w:pPr>
              <w:pStyle w:val="ab"/>
              <w:numPr>
                <w:ilvl w:val="0"/>
                <w:numId w:val="10"/>
              </w:numPr>
            </w:pPr>
            <w:r>
              <w:t>前期准备方面</w:t>
            </w:r>
            <w:r>
              <w:t xml:space="preserve"> </w:t>
            </w:r>
          </w:p>
          <w:p w14:paraId="09D7DD7F" w14:textId="77777777" w:rsidR="00E22223" w:rsidRDefault="00000000">
            <w:pPr>
              <w:ind w:rightChars="21" w:right="44" w:firstLineChars="200" w:firstLine="480"/>
              <w:jc w:val="left"/>
              <w:rPr>
                <w:sz w:val="24"/>
              </w:rPr>
            </w:pPr>
            <w:r>
              <w:rPr>
                <w:sz w:val="24"/>
              </w:rPr>
              <w:t>项目组成员均具有编程基础，已经在指导老师以及学长学姐的帮助下，通过课余时间自学，</w:t>
            </w:r>
            <w:r>
              <w:rPr>
                <w:rFonts w:hint="eastAsia"/>
                <w:sz w:val="24"/>
              </w:rPr>
              <w:t>掌握</w:t>
            </w:r>
            <w:r>
              <w:rPr>
                <w:rFonts w:hint="eastAsia"/>
                <w:sz w:val="24"/>
              </w:rPr>
              <w:t>Python</w:t>
            </w:r>
            <w:r>
              <w:rPr>
                <w:rFonts w:hint="eastAsia"/>
                <w:sz w:val="24"/>
              </w:rPr>
              <w:t>、</w:t>
            </w:r>
            <w:r>
              <w:rPr>
                <w:sz w:val="24"/>
              </w:rPr>
              <w:t>Anaconda</w:t>
            </w:r>
            <w:r>
              <w:rPr>
                <w:rFonts w:hint="eastAsia"/>
                <w:sz w:val="24"/>
              </w:rPr>
              <w:t>等的使用</w:t>
            </w:r>
            <w:r>
              <w:rPr>
                <w:sz w:val="24"/>
              </w:rPr>
              <w:t>。此外，</w:t>
            </w:r>
            <w:r>
              <w:rPr>
                <w:rFonts w:hint="eastAsia"/>
                <w:sz w:val="24"/>
              </w:rPr>
              <w:t>项目组</w:t>
            </w:r>
            <w:r>
              <w:rPr>
                <w:sz w:val="24"/>
              </w:rPr>
              <w:t>成员</w:t>
            </w:r>
            <w:r>
              <w:rPr>
                <w:rFonts w:hint="eastAsia"/>
                <w:sz w:val="24"/>
              </w:rPr>
              <w:t>员已具备外文资料查阅能力，</w:t>
            </w:r>
            <w:r>
              <w:rPr>
                <w:sz w:val="24"/>
              </w:rPr>
              <w:t>已广泛查阅了大量与本项目相关的国内外资料，对</w:t>
            </w:r>
            <w:r>
              <w:rPr>
                <w:rFonts w:hint="eastAsia"/>
                <w:sz w:val="24"/>
              </w:rPr>
              <w:t>基于深度学习</w:t>
            </w:r>
            <w:r>
              <w:rPr>
                <w:rFonts w:hint="eastAsia"/>
                <w:sz w:val="24"/>
              </w:rPr>
              <w:t>D</w:t>
            </w:r>
            <w:r>
              <w:rPr>
                <w:sz w:val="24"/>
              </w:rPr>
              <w:t>TI</w:t>
            </w:r>
            <w:r>
              <w:rPr>
                <w:rFonts w:hint="eastAsia"/>
                <w:sz w:val="24"/>
              </w:rPr>
              <w:t>预测知识、抗新冠病毒药物预筛选技术发展</w:t>
            </w:r>
            <w:r>
              <w:rPr>
                <w:sz w:val="24"/>
              </w:rPr>
              <w:t>了解较为全面</w:t>
            </w:r>
            <w:r>
              <w:rPr>
                <w:rFonts w:hint="eastAsia"/>
                <w:sz w:val="24"/>
              </w:rPr>
              <w:t>，整理并讨论项目技术路线。</w:t>
            </w:r>
          </w:p>
          <w:p w14:paraId="39590D15" w14:textId="77777777" w:rsidR="00E22223" w:rsidRDefault="00000000">
            <w:pPr>
              <w:pStyle w:val="ab"/>
              <w:numPr>
                <w:ilvl w:val="0"/>
                <w:numId w:val="10"/>
              </w:numPr>
            </w:pPr>
            <w:r>
              <w:t>参与人员方面</w:t>
            </w:r>
            <w:r>
              <w:t xml:space="preserve"> </w:t>
            </w:r>
          </w:p>
          <w:p w14:paraId="28579E18" w14:textId="77777777" w:rsidR="00E22223" w:rsidRDefault="00000000">
            <w:pPr>
              <w:ind w:rightChars="21" w:right="44" w:firstLineChars="200" w:firstLine="480"/>
              <w:jc w:val="left"/>
              <w:rPr>
                <w:sz w:val="24"/>
              </w:rPr>
            </w:pPr>
            <w:r>
              <w:rPr>
                <w:sz w:val="24"/>
              </w:rPr>
              <w:t>本项目的参与人员</w:t>
            </w:r>
            <w:r>
              <w:rPr>
                <w:rFonts w:hint="eastAsia"/>
                <w:sz w:val="24"/>
              </w:rPr>
              <w:t>来自生物医学工程学院、生命科学学院、计算机学院，</w:t>
            </w:r>
            <w:r>
              <w:rPr>
                <w:sz w:val="24"/>
              </w:rPr>
              <w:t>具备良好的学习与沟通能力，对</w:t>
            </w:r>
            <w:r>
              <w:rPr>
                <w:rFonts w:hint="eastAsia"/>
                <w:sz w:val="24"/>
              </w:rPr>
              <w:t>机器学习的跨学科研究</w:t>
            </w:r>
            <w:r>
              <w:rPr>
                <w:sz w:val="24"/>
              </w:rPr>
              <w:t>有着很大的热情，可以保证项目的顺利进行。团队成员已修读</w:t>
            </w:r>
            <w:r>
              <w:rPr>
                <w:rFonts w:hint="eastAsia"/>
                <w:sz w:val="24"/>
              </w:rPr>
              <w:t>药学分子生物学，细胞生物学，生物化学等课</w:t>
            </w:r>
            <w:r>
              <w:rPr>
                <w:sz w:val="24"/>
              </w:rPr>
              <w:t>程，</w:t>
            </w:r>
            <w:r>
              <w:rPr>
                <w:rFonts w:hint="eastAsia"/>
                <w:sz w:val="24"/>
              </w:rPr>
              <w:t>对药物靶点研究等相关知识均有学习</w:t>
            </w:r>
            <w:r>
              <w:rPr>
                <w:sz w:val="24"/>
              </w:rPr>
              <w:t>；</w:t>
            </w:r>
            <w:r>
              <w:rPr>
                <w:rFonts w:hint="eastAsia"/>
                <w:sz w:val="24"/>
              </w:rPr>
              <w:t>已修读</w:t>
            </w:r>
            <w:r>
              <w:rPr>
                <w:rFonts w:hint="eastAsia"/>
                <w:sz w:val="24"/>
              </w:rPr>
              <w:t>C</w:t>
            </w:r>
            <w:r>
              <w:rPr>
                <w:rFonts w:hint="eastAsia"/>
                <w:sz w:val="24"/>
              </w:rPr>
              <w:t>语言程序设计、面向对象程序设计、数据结构与算法、计算机网络、计算机组成原理等课程，</w:t>
            </w:r>
            <w:r>
              <w:rPr>
                <w:sz w:val="24"/>
              </w:rPr>
              <w:t>具备</w:t>
            </w:r>
            <w:r>
              <w:rPr>
                <w:sz w:val="24"/>
              </w:rPr>
              <w:t xml:space="preserve"> C++</w:t>
            </w:r>
            <w:r>
              <w:rPr>
                <w:sz w:val="24"/>
              </w:rPr>
              <w:t>、</w:t>
            </w:r>
            <w:r>
              <w:rPr>
                <w:rFonts w:hint="eastAsia"/>
                <w:sz w:val="24"/>
              </w:rPr>
              <w:t>P</w:t>
            </w:r>
            <w:r>
              <w:rPr>
                <w:sz w:val="24"/>
              </w:rPr>
              <w:t>ython</w:t>
            </w:r>
            <w:r>
              <w:rPr>
                <w:sz w:val="24"/>
              </w:rPr>
              <w:t>等编程基础知识以及数据结构知识</w:t>
            </w:r>
            <w:r>
              <w:rPr>
                <w:rFonts w:hint="eastAsia"/>
                <w:sz w:val="24"/>
              </w:rPr>
              <w:t>，</w:t>
            </w:r>
            <w:r>
              <w:rPr>
                <w:sz w:val="24"/>
              </w:rPr>
              <w:t>能够进行算法分析以及代码编写。</w:t>
            </w:r>
          </w:p>
          <w:p w14:paraId="4458D2CA" w14:textId="77777777" w:rsidR="00E22223" w:rsidRDefault="00000000">
            <w:pPr>
              <w:pStyle w:val="ab"/>
              <w:numPr>
                <w:ilvl w:val="0"/>
                <w:numId w:val="10"/>
              </w:numPr>
            </w:pPr>
            <w:r>
              <w:t>指导老师团队方面</w:t>
            </w:r>
            <w:r>
              <w:t xml:space="preserve"> </w:t>
            </w:r>
          </w:p>
          <w:p w14:paraId="1E9B6195" w14:textId="77777777" w:rsidR="00E22223" w:rsidRDefault="00000000">
            <w:pPr>
              <w:ind w:rightChars="21" w:right="44" w:firstLineChars="200" w:firstLine="480"/>
              <w:jc w:val="left"/>
              <w:rPr>
                <w:sz w:val="24"/>
                <w:szCs w:val="21"/>
              </w:rPr>
            </w:pPr>
            <w:r>
              <w:rPr>
                <w:sz w:val="24"/>
              </w:rPr>
              <w:t>项目指导老师有着丰富的指导经验，能够给予及时且专业的指导。老师</w:t>
            </w:r>
            <w:r>
              <w:rPr>
                <w:rFonts w:hint="eastAsia"/>
                <w:sz w:val="24"/>
              </w:rPr>
              <w:t>长期从事材料</w:t>
            </w:r>
            <w:r>
              <w:rPr>
                <w:rFonts w:cs="Calibri" w:hint="eastAsia"/>
                <w:sz w:val="24"/>
              </w:rPr>
              <w:t>/</w:t>
            </w:r>
            <w:r>
              <w:rPr>
                <w:rFonts w:hint="eastAsia"/>
                <w:sz w:val="24"/>
              </w:rPr>
              <w:t>化学</w:t>
            </w:r>
            <w:r>
              <w:rPr>
                <w:rFonts w:cs="Calibri" w:hint="eastAsia"/>
                <w:sz w:val="24"/>
              </w:rPr>
              <w:t>/</w:t>
            </w:r>
            <w:r>
              <w:rPr>
                <w:rFonts w:hint="eastAsia"/>
                <w:sz w:val="24"/>
              </w:rPr>
              <w:t>生物</w:t>
            </w:r>
            <w:r>
              <w:rPr>
                <w:rFonts w:cs="Calibri" w:hint="eastAsia"/>
                <w:sz w:val="24"/>
              </w:rPr>
              <w:t>/</w:t>
            </w:r>
            <w:r>
              <w:rPr>
                <w:rFonts w:hint="eastAsia"/>
                <w:sz w:val="24"/>
              </w:rPr>
              <w:t>机器学习的跨学科研究</w:t>
            </w:r>
            <w:r>
              <w:rPr>
                <w:rFonts w:hint="eastAsia"/>
                <w:sz w:val="24"/>
                <w:szCs w:val="21"/>
              </w:rPr>
              <w:t>，</w:t>
            </w:r>
            <w:r>
              <w:rPr>
                <w:sz w:val="24"/>
              </w:rPr>
              <w:t>有着深入的研究基础。同时</w:t>
            </w:r>
            <w:r>
              <w:rPr>
                <w:rFonts w:hint="eastAsia"/>
                <w:sz w:val="24"/>
              </w:rPr>
              <w:t>项目指导实验平台也为大创项目</w:t>
            </w:r>
            <w:r>
              <w:rPr>
                <w:sz w:val="24"/>
              </w:rPr>
              <w:t>提供了</w:t>
            </w:r>
            <w:r>
              <w:rPr>
                <w:rFonts w:hint="eastAsia"/>
                <w:sz w:val="24"/>
              </w:rPr>
              <w:t>深厚的</w:t>
            </w:r>
            <w:r>
              <w:rPr>
                <w:sz w:val="24"/>
              </w:rPr>
              <w:t>技术支持。</w:t>
            </w:r>
            <w:r>
              <w:rPr>
                <w:sz w:val="24"/>
              </w:rPr>
              <w:t xml:space="preserve"> </w:t>
            </w:r>
          </w:p>
          <w:p w14:paraId="49FB4E92" w14:textId="77777777" w:rsidR="00E22223" w:rsidRDefault="00E22223">
            <w:pPr>
              <w:ind w:rightChars="21" w:right="44" w:firstLineChars="200" w:firstLine="480"/>
              <w:jc w:val="left"/>
              <w:rPr>
                <w:sz w:val="24"/>
              </w:rPr>
            </w:pPr>
          </w:p>
          <w:p w14:paraId="49020EC8" w14:textId="77777777" w:rsidR="00E22223" w:rsidRDefault="00000000">
            <w:pPr>
              <w:ind w:rightChars="21" w:right="44" w:firstLineChars="200" w:firstLine="480"/>
              <w:jc w:val="left"/>
              <w:rPr>
                <w:sz w:val="24"/>
              </w:rPr>
            </w:pPr>
            <w:r>
              <w:rPr>
                <w:sz w:val="24"/>
              </w:rPr>
              <w:t>综上所述，本项目有着人员、技术、理论层面上的保证，能够保证项目顺利进行，完成预期目标</w:t>
            </w:r>
            <w:r>
              <w:rPr>
                <w:rFonts w:hint="eastAsia"/>
                <w:sz w:val="24"/>
              </w:rPr>
              <w:t>。</w:t>
            </w:r>
          </w:p>
          <w:p w14:paraId="6EFDDD07" w14:textId="77777777" w:rsidR="00E22223" w:rsidRDefault="00E22223">
            <w:pPr>
              <w:ind w:rightChars="21" w:right="44"/>
              <w:jc w:val="left"/>
              <w:rPr>
                <w:sz w:val="24"/>
              </w:rPr>
            </w:pPr>
          </w:p>
          <w:p w14:paraId="1C155599" w14:textId="77777777" w:rsidR="00E22223" w:rsidRDefault="00E22223">
            <w:pPr>
              <w:ind w:rightChars="21" w:right="44"/>
              <w:jc w:val="left"/>
              <w:rPr>
                <w:sz w:val="24"/>
              </w:rPr>
            </w:pPr>
          </w:p>
          <w:p w14:paraId="79819264" w14:textId="77777777" w:rsidR="00E22223" w:rsidRDefault="00E22223">
            <w:pPr>
              <w:ind w:rightChars="21" w:right="44"/>
              <w:jc w:val="left"/>
              <w:rPr>
                <w:sz w:val="24"/>
              </w:rPr>
            </w:pPr>
          </w:p>
          <w:p w14:paraId="7AD9EEED" w14:textId="77777777" w:rsidR="00E22223" w:rsidRDefault="00E22223">
            <w:pPr>
              <w:ind w:rightChars="21" w:right="44"/>
              <w:jc w:val="left"/>
              <w:rPr>
                <w:sz w:val="24"/>
              </w:rPr>
            </w:pPr>
          </w:p>
          <w:p w14:paraId="15AFE9D2" w14:textId="77777777" w:rsidR="00E22223" w:rsidRDefault="00E22223">
            <w:pPr>
              <w:ind w:rightChars="21" w:right="44"/>
              <w:jc w:val="left"/>
              <w:rPr>
                <w:sz w:val="24"/>
              </w:rPr>
            </w:pPr>
          </w:p>
        </w:tc>
      </w:tr>
    </w:tbl>
    <w:p w14:paraId="44BDCC41" w14:textId="77777777" w:rsidR="00E22223" w:rsidRDefault="00E22223">
      <w:pPr>
        <w:jc w:val="left"/>
        <w:rPr>
          <w:color w:val="000000" w:themeColor="text1"/>
        </w:rPr>
      </w:pPr>
    </w:p>
    <w:tbl>
      <w:tblPr>
        <w:tblW w:w="8295" w:type="dxa"/>
        <w:tblCellMar>
          <w:left w:w="0" w:type="dxa"/>
          <w:right w:w="0" w:type="dxa"/>
        </w:tblCellMar>
        <w:tblLook w:val="04A0" w:firstRow="1" w:lastRow="0" w:firstColumn="1" w:lastColumn="0" w:noHBand="0" w:noVBand="1"/>
      </w:tblPr>
      <w:tblGrid>
        <w:gridCol w:w="8295"/>
      </w:tblGrid>
      <w:tr w:rsidR="00E22223" w14:paraId="1BE7DD96" w14:textId="77777777">
        <w:trPr>
          <w:trHeight w:val="285"/>
        </w:trPr>
        <w:tc>
          <w:tcPr>
            <w:tcW w:w="8295" w:type="dxa"/>
            <w:tcBorders>
              <w:top w:val="nil"/>
              <w:left w:val="nil"/>
              <w:bottom w:val="nil"/>
              <w:right w:val="nil"/>
            </w:tcBorders>
            <w:tcMar>
              <w:top w:w="15" w:type="dxa"/>
              <w:left w:w="15" w:type="dxa"/>
              <w:bottom w:w="0" w:type="dxa"/>
              <w:right w:w="15" w:type="dxa"/>
            </w:tcMar>
            <w:vAlign w:val="center"/>
          </w:tcPr>
          <w:p w14:paraId="4051C463" w14:textId="77777777" w:rsidR="00E22223" w:rsidRDefault="00000000">
            <w:pPr>
              <w:pStyle w:val="af"/>
              <w:numPr>
                <w:ilvl w:val="1"/>
                <w:numId w:val="11"/>
              </w:numPr>
              <w:ind w:left="567" w:firstLineChars="0"/>
              <w:rPr>
                <w:rFonts w:ascii="仿宋_GB2312" w:eastAsia="仿宋_GB2312" w:hAnsi="宋体"/>
                <w:b/>
                <w:bCs/>
                <w:color w:val="000000" w:themeColor="text1"/>
                <w:sz w:val="28"/>
              </w:rPr>
            </w:pPr>
            <w:r>
              <w:rPr>
                <w:rFonts w:ascii="仿宋_GB2312" w:eastAsia="仿宋_GB2312" w:hint="eastAsia"/>
                <w:b/>
                <w:bCs/>
                <w:color w:val="000000" w:themeColor="text1"/>
                <w:sz w:val="28"/>
              </w:rPr>
              <w:lastRenderedPageBreak/>
              <w:t>研究</w:t>
            </w:r>
            <w:r>
              <w:rPr>
                <w:rFonts w:ascii="仿宋_GB2312" w:eastAsia="仿宋_GB2312"/>
                <w:b/>
                <w:bCs/>
                <w:color w:val="000000" w:themeColor="text1"/>
                <w:sz w:val="28"/>
              </w:rPr>
              <w:t>基础</w:t>
            </w:r>
            <w:r>
              <w:rPr>
                <w:rFonts w:ascii="仿宋_GB2312" w:eastAsia="仿宋_GB2312"/>
                <w:b/>
                <w:bCs/>
                <w:color w:val="000000" w:themeColor="text1"/>
                <w:sz w:val="24"/>
              </w:rPr>
              <w:t>（对项目的</w:t>
            </w:r>
            <w:r>
              <w:rPr>
                <w:rFonts w:ascii="仿宋_GB2312" w:eastAsia="仿宋_GB2312" w:hint="eastAsia"/>
                <w:b/>
                <w:bCs/>
                <w:color w:val="000000" w:themeColor="text1"/>
                <w:sz w:val="24"/>
              </w:rPr>
              <w:t>参与动机、</w:t>
            </w:r>
            <w:r>
              <w:rPr>
                <w:rFonts w:ascii="仿宋_GB2312" w:eastAsia="仿宋_GB2312"/>
                <w:b/>
                <w:bCs/>
                <w:color w:val="000000" w:themeColor="text1"/>
                <w:sz w:val="24"/>
              </w:rPr>
              <w:t>已有知识</w:t>
            </w:r>
            <w:r>
              <w:rPr>
                <w:rFonts w:ascii="仿宋_GB2312" w:eastAsia="仿宋_GB2312" w:hint="eastAsia"/>
                <w:b/>
                <w:bCs/>
                <w:color w:val="000000" w:themeColor="text1"/>
                <w:sz w:val="24"/>
              </w:rPr>
              <w:t>储备、相关研究和训练</w:t>
            </w:r>
            <w:r>
              <w:rPr>
                <w:rFonts w:ascii="仿宋_GB2312" w:eastAsia="仿宋_GB2312"/>
                <w:b/>
                <w:bCs/>
                <w:color w:val="000000" w:themeColor="text1"/>
                <w:sz w:val="24"/>
              </w:rPr>
              <w:t>基础）</w:t>
            </w:r>
          </w:p>
        </w:tc>
      </w:tr>
      <w:tr w:rsidR="00E22223" w14:paraId="4F6AE9BF" w14:textId="77777777">
        <w:tc>
          <w:tcPr>
            <w:tcW w:w="8295" w:type="dxa"/>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tcPr>
          <w:p w14:paraId="292C923E" w14:textId="77777777" w:rsidR="00E22223" w:rsidRDefault="00000000">
            <w:pPr>
              <w:pStyle w:val="af1"/>
              <w:numPr>
                <w:ilvl w:val="0"/>
                <w:numId w:val="12"/>
              </w:numPr>
              <w:ind w:left="709" w:hanging="704"/>
            </w:pPr>
            <w:r>
              <w:rPr>
                <w:rFonts w:hint="eastAsia"/>
              </w:rPr>
              <w:t>对项目的参与动机</w:t>
            </w:r>
          </w:p>
          <w:p w14:paraId="2DF32AB1" w14:textId="77777777" w:rsidR="00E22223" w:rsidRDefault="00000000">
            <w:pPr>
              <w:ind w:rightChars="21" w:right="44" w:firstLineChars="200" w:firstLine="480"/>
              <w:rPr>
                <w:sz w:val="24"/>
              </w:rPr>
            </w:pPr>
            <w:r>
              <w:rPr>
                <w:sz w:val="24"/>
              </w:rPr>
              <w:t>团队成员</w:t>
            </w:r>
            <w:r>
              <w:rPr>
                <w:rFonts w:hint="eastAsia"/>
                <w:sz w:val="24"/>
              </w:rPr>
              <w:t>来自生物医学工程学院、计算机学院、生物科学学院</w:t>
            </w:r>
            <w:r>
              <w:rPr>
                <w:sz w:val="24"/>
              </w:rPr>
              <w:t>，皆有基础专业知识储备，对</w:t>
            </w:r>
            <w:r>
              <w:rPr>
                <w:rFonts w:hint="eastAsia"/>
                <w:sz w:val="24"/>
              </w:rPr>
              <w:t>生物信息方向</w:t>
            </w:r>
            <w:r>
              <w:rPr>
                <w:sz w:val="24"/>
              </w:rPr>
              <w:t>抱有极大的兴趣。在与老师的多次沟通下，将</w:t>
            </w:r>
            <w:r>
              <w:rPr>
                <w:rFonts w:hint="eastAsia"/>
                <w:sz w:val="24"/>
              </w:rPr>
              <w:t>发展迅速的机器学习领域</w:t>
            </w:r>
            <w:r>
              <w:rPr>
                <w:sz w:val="24"/>
              </w:rPr>
              <w:t>与</w:t>
            </w:r>
            <w:r>
              <w:rPr>
                <w:rFonts w:hint="eastAsia"/>
                <w:sz w:val="24"/>
              </w:rPr>
              <w:t>药学、生物学</w:t>
            </w:r>
            <w:r>
              <w:rPr>
                <w:sz w:val="24"/>
              </w:rPr>
              <w:t>进行结合，确定了项目的选题方向。团队成员均阅读大量文献并积极展开讨论，本着</w:t>
            </w:r>
            <w:r>
              <w:rPr>
                <w:rFonts w:hint="eastAsia"/>
                <w:sz w:val="24"/>
              </w:rPr>
              <w:t>科研探索</w:t>
            </w:r>
            <w:r>
              <w:rPr>
                <w:sz w:val="24"/>
              </w:rPr>
              <w:t>的热情与</w:t>
            </w:r>
            <w:r>
              <w:rPr>
                <w:rFonts w:hint="eastAsia"/>
                <w:sz w:val="24"/>
              </w:rPr>
              <w:t>科学研究</w:t>
            </w:r>
            <w:r>
              <w:rPr>
                <w:sz w:val="24"/>
              </w:rPr>
              <w:t>的</w:t>
            </w:r>
            <w:r>
              <w:rPr>
                <w:rFonts w:hint="eastAsia"/>
                <w:sz w:val="24"/>
              </w:rPr>
              <w:t>严谨态度</w:t>
            </w:r>
            <w:r>
              <w:rPr>
                <w:sz w:val="24"/>
              </w:rPr>
              <w:t>，参与研究此课题的相关知识及相关发展状况，旨在</w:t>
            </w:r>
            <w:r>
              <w:rPr>
                <w:rFonts w:hint="eastAsia"/>
                <w:sz w:val="24"/>
              </w:rPr>
              <w:t>对基于深度学习的药物</w:t>
            </w:r>
            <w:r>
              <w:rPr>
                <w:rFonts w:hint="eastAsia"/>
                <w:sz w:val="24"/>
              </w:rPr>
              <w:t>-</w:t>
            </w:r>
            <w:r>
              <w:rPr>
                <w:rFonts w:hint="eastAsia"/>
                <w:sz w:val="24"/>
              </w:rPr>
              <w:t>靶点相互作用预测模型</w:t>
            </w:r>
            <w:r>
              <w:rPr>
                <w:sz w:val="24"/>
              </w:rPr>
              <w:t>进行搭建并优化，探索</w:t>
            </w:r>
            <w:r>
              <w:rPr>
                <w:rFonts w:hint="eastAsia"/>
                <w:sz w:val="24"/>
              </w:rPr>
              <w:t>完善具有</w:t>
            </w:r>
            <w:r>
              <w:rPr>
                <w:sz w:val="24"/>
              </w:rPr>
              <w:t>更好精确性、</w:t>
            </w:r>
            <w:r>
              <w:rPr>
                <w:rFonts w:hint="eastAsia"/>
                <w:sz w:val="24"/>
              </w:rPr>
              <w:t>科学性的抗新冠病毒药物的预筛选技术</w:t>
            </w:r>
            <w:r>
              <w:rPr>
                <w:sz w:val="24"/>
              </w:rPr>
              <w:t>。我们对该项目抱有极高的期待，也有信心探索，并会认真完成该项目。从而促进</w:t>
            </w:r>
            <w:r>
              <w:rPr>
                <w:rFonts w:hint="eastAsia"/>
                <w:sz w:val="24"/>
              </w:rPr>
              <w:t>人工智能在生物医药等交叉领域</w:t>
            </w:r>
            <w:r>
              <w:rPr>
                <w:sz w:val="24"/>
              </w:rPr>
              <w:t>的深化发展，发挥新型交叉学科的重要作用。</w:t>
            </w:r>
          </w:p>
          <w:p w14:paraId="64B99DCB" w14:textId="77777777" w:rsidR="00E22223" w:rsidRDefault="00E22223">
            <w:pPr>
              <w:ind w:rightChars="21" w:right="44" w:firstLineChars="200" w:firstLine="480"/>
              <w:rPr>
                <w:sz w:val="24"/>
              </w:rPr>
            </w:pPr>
          </w:p>
          <w:p w14:paraId="3FE75840" w14:textId="77777777" w:rsidR="00E22223" w:rsidRDefault="00000000">
            <w:pPr>
              <w:pStyle w:val="af1"/>
              <w:numPr>
                <w:ilvl w:val="0"/>
                <w:numId w:val="12"/>
              </w:numPr>
              <w:ind w:left="709" w:hanging="704"/>
            </w:pPr>
            <w:r>
              <w:rPr>
                <w:rFonts w:hint="eastAsia"/>
              </w:rPr>
              <w:t>已有知识储备</w:t>
            </w:r>
          </w:p>
          <w:p w14:paraId="2931717C" w14:textId="77777777" w:rsidR="00E22223" w:rsidRDefault="00000000">
            <w:pPr>
              <w:pStyle w:val="af"/>
              <w:ind w:rightChars="21" w:right="44" w:firstLine="480"/>
              <w:rPr>
                <w:sz w:val="24"/>
              </w:rPr>
            </w:pPr>
            <w:r>
              <w:rPr>
                <w:sz w:val="24"/>
              </w:rPr>
              <w:t>本课题组成员由生物医学工程学院</w:t>
            </w:r>
            <w:r>
              <w:rPr>
                <w:rFonts w:hint="eastAsia"/>
                <w:sz w:val="24"/>
              </w:rPr>
              <w:t>、计算机学院、生物科学学院</w:t>
            </w:r>
            <w:r>
              <w:rPr>
                <w:sz w:val="24"/>
              </w:rPr>
              <w:t>的</w:t>
            </w:r>
            <w:r>
              <w:rPr>
                <w:rFonts w:hint="eastAsia"/>
                <w:sz w:val="24"/>
              </w:rPr>
              <w:t>4</w:t>
            </w:r>
            <w:r>
              <w:rPr>
                <w:sz w:val="24"/>
              </w:rPr>
              <w:t>名同学组成，团队成员有省级大创、互联网</w:t>
            </w:r>
            <w:r>
              <w:rPr>
                <w:sz w:val="24"/>
              </w:rPr>
              <w:t>+</w:t>
            </w:r>
            <w:r>
              <w:rPr>
                <w:rFonts w:hint="eastAsia"/>
                <w:sz w:val="24"/>
              </w:rPr>
              <w:t>、四川省生物医学工程创新设计大赛、全国大学生数学建模竞赛</w:t>
            </w:r>
            <w:r>
              <w:rPr>
                <w:sz w:val="24"/>
              </w:rPr>
              <w:t>等项目</w:t>
            </w:r>
            <w:r>
              <w:rPr>
                <w:rFonts w:hint="eastAsia"/>
                <w:sz w:val="24"/>
              </w:rPr>
              <w:t>比赛获奖</w:t>
            </w:r>
            <w:r>
              <w:rPr>
                <w:sz w:val="24"/>
              </w:rPr>
              <w:t>经历。团队成员已有</w:t>
            </w:r>
            <w:r>
              <w:rPr>
                <w:rFonts w:hint="eastAsia"/>
                <w:sz w:val="24"/>
              </w:rPr>
              <w:t>数据结构、面向对象程序设计、药学分子生物学、生物化学、等</w:t>
            </w:r>
            <w:r>
              <w:rPr>
                <w:sz w:val="24"/>
              </w:rPr>
              <w:t>专业知识储备，具有良好的编程能力及文献阅读能力。</w:t>
            </w:r>
            <w:r>
              <w:rPr>
                <w:sz w:val="24"/>
              </w:rPr>
              <w:t xml:space="preserve"> </w:t>
            </w:r>
            <w:r>
              <w:rPr>
                <w:sz w:val="24"/>
              </w:rPr>
              <w:t>团队成员围绕项目进行多次讨论，广泛查阅文献并咨询老师，对</w:t>
            </w:r>
            <w:r>
              <w:rPr>
                <w:rFonts w:hint="eastAsia"/>
                <w:sz w:val="24"/>
              </w:rPr>
              <w:t>图神经网络、多层感知机、支持向量机等机器学习与深度学习相关模型知识</w:t>
            </w:r>
            <w:r>
              <w:rPr>
                <w:sz w:val="24"/>
              </w:rPr>
              <w:t>均有认真钻研，对相关实验操作有充分了解，对优化方案进行深入探讨，制定了详实可靠的实验方案。</w:t>
            </w:r>
          </w:p>
          <w:p w14:paraId="68DB5A8A" w14:textId="77777777" w:rsidR="00E22223" w:rsidRDefault="00E22223">
            <w:pPr>
              <w:pStyle w:val="af"/>
              <w:ind w:rightChars="21" w:right="44" w:firstLine="480"/>
              <w:rPr>
                <w:sz w:val="24"/>
              </w:rPr>
            </w:pPr>
          </w:p>
          <w:p w14:paraId="422D5EB0" w14:textId="77777777" w:rsidR="00E22223" w:rsidRDefault="00000000">
            <w:pPr>
              <w:pStyle w:val="af1"/>
              <w:numPr>
                <w:ilvl w:val="0"/>
                <w:numId w:val="13"/>
              </w:numPr>
              <w:ind w:left="709" w:hanging="704"/>
            </w:pPr>
            <w:r>
              <w:rPr>
                <w:rFonts w:hint="eastAsia"/>
              </w:rPr>
              <w:t>相关研究和训练基础</w:t>
            </w:r>
          </w:p>
          <w:p w14:paraId="619657C2" w14:textId="77777777" w:rsidR="00E22223" w:rsidRDefault="00000000">
            <w:pPr>
              <w:ind w:rightChars="21" w:right="44" w:firstLineChars="200" w:firstLine="480"/>
              <w:jc w:val="left"/>
              <w:rPr>
                <w:rFonts w:ascii="宋体" w:hAnsi="宋体"/>
                <w:b/>
                <w:bCs/>
                <w:color w:val="000000" w:themeColor="text1"/>
                <w:sz w:val="24"/>
              </w:rPr>
            </w:pPr>
            <w:r>
              <w:rPr>
                <w:sz w:val="24"/>
              </w:rPr>
              <w:t>项目成员已经共同阅读过大量英文文献，绝大部分是最新出版的文章，代表了此领域的最高水平</w:t>
            </w:r>
            <w:r>
              <w:rPr>
                <w:rFonts w:hint="eastAsia"/>
                <w:sz w:val="24"/>
              </w:rPr>
              <w:t>，目前已对新冠病毒药物筛选、药物</w:t>
            </w:r>
            <w:r>
              <w:rPr>
                <w:rFonts w:hint="eastAsia"/>
                <w:sz w:val="24"/>
              </w:rPr>
              <w:t>-</w:t>
            </w:r>
            <w:r>
              <w:rPr>
                <w:rFonts w:hint="eastAsia"/>
                <w:sz w:val="24"/>
              </w:rPr>
              <w:t>靶点相互作用预测的深度学习模型有深入了解</w:t>
            </w:r>
            <w:r>
              <w:rPr>
                <w:sz w:val="24"/>
              </w:rPr>
              <w:t>。因此，团队对该领域最新的发展都有一定的了解和认识，前期准备工作充足。为项目开展提供理论支持。我们将保证本项目研究计划的完成，并达到预期目标。</w:t>
            </w:r>
          </w:p>
          <w:p w14:paraId="5FB194CD" w14:textId="77777777" w:rsidR="00E22223" w:rsidRDefault="00E22223">
            <w:pPr>
              <w:ind w:rightChars="21" w:right="44"/>
              <w:jc w:val="left"/>
              <w:rPr>
                <w:rFonts w:ascii="宋体" w:hAnsi="宋体"/>
                <w:b/>
                <w:bCs/>
                <w:color w:val="000000" w:themeColor="text1"/>
                <w:sz w:val="24"/>
              </w:rPr>
            </w:pPr>
          </w:p>
          <w:p w14:paraId="3AA668D2" w14:textId="77777777" w:rsidR="00E22223" w:rsidRDefault="00E22223">
            <w:pPr>
              <w:rPr>
                <w:rFonts w:ascii="仿宋_GB2312" w:eastAsia="仿宋_GB2312" w:hAnsi="宋体"/>
                <w:b/>
                <w:bCs/>
                <w:color w:val="000000" w:themeColor="text1"/>
                <w:sz w:val="28"/>
              </w:rPr>
            </w:pPr>
          </w:p>
          <w:p w14:paraId="1D100CCB" w14:textId="77777777" w:rsidR="00E22223" w:rsidRDefault="00E22223">
            <w:pPr>
              <w:rPr>
                <w:rFonts w:ascii="仿宋_GB2312" w:eastAsia="仿宋_GB2312" w:hAnsi="宋体"/>
                <w:b/>
                <w:bCs/>
                <w:color w:val="000000" w:themeColor="text1"/>
                <w:sz w:val="28"/>
              </w:rPr>
            </w:pPr>
          </w:p>
          <w:p w14:paraId="0BC78CAF" w14:textId="77777777" w:rsidR="00E22223" w:rsidRDefault="00E22223">
            <w:pPr>
              <w:rPr>
                <w:rFonts w:ascii="仿宋_GB2312" w:eastAsia="仿宋_GB2312" w:hAnsi="宋体"/>
                <w:b/>
                <w:bCs/>
                <w:color w:val="000000" w:themeColor="text1"/>
                <w:sz w:val="28"/>
              </w:rPr>
            </w:pPr>
          </w:p>
          <w:p w14:paraId="016CCD40" w14:textId="77777777" w:rsidR="00E22223" w:rsidRDefault="00E22223">
            <w:pPr>
              <w:rPr>
                <w:rFonts w:ascii="仿宋_GB2312" w:eastAsia="仿宋_GB2312" w:hAnsi="宋体"/>
                <w:b/>
                <w:bCs/>
                <w:color w:val="000000" w:themeColor="text1"/>
                <w:sz w:val="28"/>
              </w:rPr>
            </w:pPr>
          </w:p>
          <w:p w14:paraId="460AC227" w14:textId="77777777" w:rsidR="00E22223" w:rsidRDefault="00E22223">
            <w:pPr>
              <w:rPr>
                <w:rFonts w:ascii="仿宋_GB2312" w:eastAsia="仿宋_GB2312" w:hAnsi="宋体"/>
                <w:b/>
                <w:bCs/>
                <w:color w:val="000000" w:themeColor="text1"/>
                <w:sz w:val="28"/>
              </w:rPr>
            </w:pPr>
          </w:p>
          <w:p w14:paraId="25C72AF6" w14:textId="77777777" w:rsidR="00E22223" w:rsidRDefault="00E22223">
            <w:pPr>
              <w:rPr>
                <w:rFonts w:ascii="仿宋_GB2312" w:eastAsia="仿宋_GB2312" w:hAnsi="宋体"/>
                <w:b/>
                <w:bCs/>
                <w:color w:val="000000" w:themeColor="text1"/>
                <w:sz w:val="28"/>
              </w:rPr>
            </w:pPr>
          </w:p>
          <w:p w14:paraId="64C7E7AC" w14:textId="77777777" w:rsidR="00E22223" w:rsidRDefault="00E22223">
            <w:pPr>
              <w:rPr>
                <w:rFonts w:ascii="仿宋_GB2312" w:eastAsia="仿宋_GB2312" w:hAnsi="宋体"/>
                <w:b/>
                <w:bCs/>
                <w:color w:val="000000" w:themeColor="text1"/>
                <w:sz w:val="28"/>
              </w:rPr>
            </w:pPr>
          </w:p>
          <w:p w14:paraId="640F9630" w14:textId="77777777" w:rsidR="00E22223" w:rsidRDefault="00E22223">
            <w:pPr>
              <w:rPr>
                <w:rFonts w:ascii="仿宋_GB2312" w:eastAsia="仿宋_GB2312" w:hAnsi="宋体"/>
                <w:b/>
                <w:bCs/>
                <w:color w:val="000000" w:themeColor="text1"/>
                <w:sz w:val="28"/>
              </w:rPr>
            </w:pPr>
          </w:p>
          <w:p w14:paraId="45018E12" w14:textId="77777777" w:rsidR="00E22223" w:rsidRDefault="00E22223">
            <w:pPr>
              <w:rPr>
                <w:rFonts w:ascii="仿宋_GB2312" w:eastAsia="仿宋_GB2312" w:hAnsi="宋体"/>
                <w:b/>
                <w:bCs/>
                <w:color w:val="000000" w:themeColor="text1"/>
                <w:sz w:val="28"/>
              </w:rPr>
            </w:pPr>
          </w:p>
          <w:p w14:paraId="67B43230" w14:textId="77777777" w:rsidR="00E22223" w:rsidRDefault="00E22223">
            <w:pPr>
              <w:rPr>
                <w:rFonts w:ascii="仿宋_GB2312" w:eastAsia="仿宋_GB2312" w:hAnsi="宋体"/>
                <w:b/>
                <w:bCs/>
                <w:color w:val="000000" w:themeColor="text1"/>
                <w:sz w:val="28"/>
              </w:rPr>
            </w:pPr>
          </w:p>
          <w:p w14:paraId="06F639A0" w14:textId="77777777" w:rsidR="00E22223" w:rsidRDefault="00E22223">
            <w:pPr>
              <w:rPr>
                <w:rFonts w:ascii="仿宋_GB2312" w:eastAsia="仿宋_GB2312" w:hAnsi="宋体"/>
                <w:b/>
                <w:bCs/>
                <w:color w:val="000000" w:themeColor="text1"/>
                <w:sz w:val="28"/>
              </w:rPr>
            </w:pPr>
          </w:p>
          <w:p w14:paraId="2F0D6EF7" w14:textId="77777777" w:rsidR="00E22223" w:rsidRDefault="00E22223">
            <w:pPr>
              <w:rPr>
                <w:rFonts w:ascii="仿宋_GB2312" w:eastAsia="仿宋_GB2312" w:hAnsi="宋体"/>
                <w:b/>
                <w:bCs/>
                <w:color w:val="000000" w:themeColor="text1"/>
                <w:sz w:val="28"/>
              </w:rPr>
            </w:pPr>
          </w:p>
          <w:p w14:paraId="3166CA48" w14:textId="77777777" w:rsidR="00E22223" w:rsidRDefault="00E22223">
            <w:pPr>
              <w:rPr>
                <w:rFonts w:ascii="仿宋_GB2312" w:eastAsia="仿宋_GB2312" w:hAnsi="宋体"/>
                <w:b/>
                <w:bCs/>
                <w:color w:val="000000" w:themeColor="text1"/>
                <w:sz w:val="28"/>
              </w:rPr>
            </w:pPr>
          </w:p>
        </w:tc>
      </w:tr>
      <w:tr w:rsidR="00E22223" w14:paraId="09BE7524" w14:textId="77777777">
        <w:trPr>
          <w:trHeight w:val="285"/>
        </w:trPr>
        <w:tc>
          <w:tcPr>
            <w:tcW w:w="8295" w:type="dxa"/>
            <w:tcBorders>
              <w:top w:val="nil"/>
              <w:left w:val="nil"/>
              <w:bottom w:val="nil"/>
              <w:right w:val="nil"/>
            </w:tcBorders>
            <w:tcMar>
              <w:top w:w="15" w:type="dxa"/>
              <w:left w:w="15" w:type="dxa"/>
              <w:bottom w:w="0" w:type="dxa"/>
              <w:right w:w="15" w:type="dxa"/>
            </w:tcMar>
            <w:vAlign w:val="center"/>
          </w:tcPr>
          <w:p w14:paraId="53962A10" w14:textId="77777777" w:rsidR="00E22223" w:rsidRDefault="00E22223">
            <w:pPr>
              <w:spacing w:line="360" w:lineRule="exact"/>
              <w:rPr>
                <w:rFonts w:ascii="仿宋_GB2312" w:eastAsia="仿宋_GB2312"/>
                <w:b/>
                <w:bCs/>
                <w:color w:val="000000" w:themeColor="text1"/>
                <w:sz w:val="28"/>
              </w:rPr>
            </w:pPr>
          </w:p>
          <w:p w14:paraId="42D8944F" w14:textId="77777777" w:rsidR="00E22223" w:rsidRDefault="00000000">
            <w:pPr>
              <w:spacing w:line="360" w:lineRule="exact"/>
              <w:rPr>
                <w:rFonts w:ascii="仿宋_GB2312" w:eastAsia="仿宋_GB2312" w:hAnsi="宋体"/>
                <w:b/>
                <w:bCs/>
                <w:color w:val="000000" w:themeColor="text1"/>
                <w:sz w:val="28"/>
              </w:rPr>
            </w:pPr>
            <w:r>
              <w:rPr>
                <w:rFonts w:ascii="仿宋_GB2312" w:eastAsia="仿宋_GB2312" w:hint="eastAsia"/>
                <w:b/>
                <w:bCs/>
                <w:color w:val="000000" w:themeColor="text1"/>
                <w:sz w:val="28"/>
              </w:rPr>
              <w:t>四、研究计划和进度</w:t>
            </w:r>
            <w:r>
              <w:rPr>
                <w:rFonts w:ascii="仿宋_GB2312" w:eastAsia="仿宋_GB2312" w:hint="eastAsia"/>
                <w:b/>
                <w:bCs/>
                <w:color w:val="000000" w:themeColor="text1"/>
                <w:sz w:val="24"/>
              </w:rPr>
              <w:t>（就文献查询、社会调查、方案设计、实验研究、数据处理、研制开发、撰写论文或研究报告、结题和答辩、成果推广、论文发表、专利申请等工作逐项计划时间，时间节点</w:t>
            </w:r>
            <w:r>
              <w:rPr>
                <w:rFonts w:ascii="仿宋_GB2312" w:eastAsia="仿宋_GB2312"/>
                <w:b/>
                <w:bCs/>
                <w:color w:val="000000" w:themeColor="text1"/>
                <w:sz w:val="24"/>
              </w:rPr>
              <w:t>精确到月份</w:t>
            </w:r>
            <w:r>
              <w:rPr>
                <w:rFonts w:ascii="仿宋_GB2312" w:eastAsia="仿宋_GB2312" w:hint="eastAsia"/>
                <w:b/>
                <w:bCs/>
                <w:color w:val="000000" w:themeColor="text1"/>
                <w:sz w:val="24"/>
              </w:rPr>
              <w:t>）</w:t>
            </w:r>
          </w:p>
        </w:tc>
      </w:tr>
      <w:tr w:rsidR="00E22223" w14:paraId="5FBBBBA8" w14:textId="77777777">
        <w:tc>
          <w:tcPr>
            <w:tcW w:w="8295" w:type="dxa"/>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tcPr>
          <w:p w14:paraId="6AA0A2C5" w14:textId="77777777" w:rsidR="00E22223" w:rsidRDefault="00000000">
            <w:pPr>
              <w:pStyle w:val="af"/>
              <w:numPr>
                <w:ilvl w:val="0"/>
                <w:numId w:val="14"/>
              </w:numPr>
              <w:ind w:left="709" w:rightChars="21" w:right="44" w:firstLineChars="0" w:hanging="704"/>
              <w:rPr>
                <w:b/>
                <w:bCs/>
                <w:sz w:val="24"/>
              </w:rPr>
            </w:pPr>
            <w:r>
              <w:rPr>
                <w:rStyle w:val="af2"/>
              </w:rPr>
              <w:t>前期</w:t>
            </w:r>
            <w:r>
              <w:rPr>
                <w:rStyle w:val="af2"/>
                <w:rFonts w:hint="eastAsia"/>
              </w:rPr>
              <w:t>科研</w:t>
            </w:r>
            <w:r>
              <w:rPr>
                <w:rStyle w:val="af2"/>
              </w:rPr>
              <w:t>准备（</w:t>
            </w:r>
            <w:r>
              <w:rPr>
                <w:rStyle w:val="af2"/>
              </w:rPr>
              <w:t>202</w:t>
            </w:r>
            <w:r>
              <w:rPr>
                <w:rStyle w:val="af2"/>
                <w:rFonts w:hint="eastAsia"/>
              </w:rPr>
              <w:t>2</w:t>
            </w:r>
            <w:r>
              <w:rPr>
                <w:rStyle w:val="af2"/>
              </w:rPr>
              <w:t>年</w:t>
            </w:r>
            <w:r>
              <w:rPr>
                <w:rStyle w:val="af2"/>
                <w:rFonts w:hint="eastAsia"/>
              </w:rPr>
              <w:t>10</w:t>
            </w:r>
            <w:r>
              <w:rPr>
                <w:rStyle w:val="af2"/>
              </w:rPr>
              <w:t>月</w:t>
            </w:r>
            <w:r>
              <w:rPr>
                <w:rStyle w:val="af2"/>
                <w:rFonts w:hint="eastAsia"/>
              </w:rPr>
              <w:t>——</w:t>
            </w:r>
            <w:r>
              <w:rPr>
                <w:rStyle w:val="af2"/>
              </w:rPr>
              <w:t>202</w:t>
            </w:r>
            <w:r>
              <w:rPr>
                <w:rStyle w:val="af2"/>
                <w:rFonts w:hint="eastAsia"/>
              </w:rPr>
              <w:t>2</w:t>
            </w:r>
            <w:r>
              <w:rPr>
                <w:rStyle w:val="af2"/>
              </w:rPr>
              <w:t>年</w:t>
            </w:r>
            <w:r>
              <w:rPr>
                <w:rStyle w:val="af2"/>
              </w:rPr>
              <w:t>1</w:t>
            </w:r>
            <w:r>
              <w:rPr>
                <w:rStyle w:val="af2"/>
                <w:rFonts w:hint="eastAsia"/>
              </w:rPr>
              <w:t>1</w:t>
            </w:r>
            <w:r>
              <w:rPr>
                <w:rStyle w:val="af2"/>
              </w:rPr>
              <w:t>月）</w:t>
            </w:r>
            <w:r>
              <w:rPr>
                <w:b/>
                <w:bCs/>
                <w:sz w:val="24"/>
              </w:rPr>
              <w:t xml:space="preserve"> </w:t>
            </w:r>
          </w:p>
          <w:p w14:paraId="2F913E5A" w14:textId="77777777" w:rsidR="00E22223" w:rsidRDefault="00000000">
            <w:pPr>
              <w:pStyle w:val="af"/>
              <w:ind w:rightChars="21" w:right="44" w:firstLineChars="100" w:firstLine="240"/>
              <w:rPr>
                <w:sz w:val="24"/>
              </w:rPr>
            </w:pPr>
            <w:r>
              <w:rPr>
                <w:sz w:val="24"/>
              </w:rPr>
              <w:t>（</w:t>
            </w:r>
            <w:r>
              <w:rPr>
                <w:sz w:val="24"/>
              </w:rPr>
              <w:t>1</w:t>
            </w:r>
            <w:r>
              <w:rPr>
                <w:sz w:val="24"/>
              </w:rPr>
              <w:t>）与指导老师交流，对项目方向进行讨论，</w:t>
            </w:r>
            <w:r>
              <w:rPr>
                <w:rFonts w:hint="eastAsia"/>
                <w:sz w:val="24"/>
              </w:rPr>
              <w:t>对研究课题进行完善，</w:t>
            </w:r>
            <w:r>
              <w:rPr>
                <w:sz w:val="24"/>
              </w:rPr>
              <w:t>确定研究方向以及基础研究路线。</w:t>
            </w:r>
          </w:p>
          <w:p w14:paraId="7211D3EA" w14:textId="77777777" w:rsidR="00E22223" w:rsidRDefault="00000000">
            <w:pPr>
              <w:pStyle w:val="af"/>
              <w:ind w:rightChars="21" w:right="44" w:firstLineChars="100" w:firstLine="240"/>
              <w:rPr>
                <w:sz w:val="24"/>
              </w:rPr>
            </w:pPr>
            <w:r>
              <w:rPr>
                <w:sz w:val="24"/>
              </w:rPr>
              <w:t>（</w:t>
            </w:r>
            <w:r>
              <w:rPr>
                <w:sz w:val="24"/>
              </w:rPr>
              <w:t>2</w:t>
            </w:r>
            <w:r>
              <w:rPr>
                <w:sz w:val="24"/>
              </w:rPr>
              <w:t>）</w:t>
            </w:r>
            <w:r>
              <w:rPr>
                <w:rFonts w:hint="eastAsia"/>
                <w:sz w:val="24"/>
              </w:rPr>
              <w:t>收集研究数据，对数据进行整理、预处理。准备立项答辩。</w:t>
            </w:r>
          </w:p>
          <w:p w14:paraId="30FBB451" w14:textId="77777777" w:rsidR="00E22223" w:rsidRDefault="00E22223">
            <w:pPr>
              <w:pStyle w:val="af"/>
              <w:ind w:rightChars="21" w:right="44" w:firstLineChars="0" w:firstLine="0"/>
              <w:rPr>
                <w:sz w:val="24"/>
              </w:rPr>
            </w:pPr>
          </w:p>
          <w:p w14:paraId="43414817" w14:textId="77777777" w:rsidR="00E22223" w:rsidRDefault="00000000">
            <w:pPr>
              <w:pStyle w:val="af"/>
              <w:numPr>
                <w:ilvl w:val="0"/>
                <w:numId w:val="15"/>
              </w:numPr>
              <w:ind w:left="709" w:rightChars="21" w:right="44" w:firstLineChars="0" w:hanging="709"/>
              <w:rPr>
                <w:b/>
                <w:bCs/>
                <w:sz w:val="24"/>
              </w:rPr>
            </w:pPr>
            <w:r>
              <w:rPr>
                <w:rStyle w:val="af2"/>
                <w:rFonts w:hint="eastAsia"/>
              </w:rPr>
              <w:t>抗新冠病毒药物预筛选模型的构建与测试（</w:t>
            </w:r>
            <w:r>
              <w:rPr>
                <w:rStyle w:val="af2"/>
                <w:rFonts w:hint="eastAsia"/>
              </w:rPr>
              <w:t>2022</w:t>
            </w:r>
            <w:r>
              <w:rPr>
                <w:rStyle w:val="af2"/>
                <w:rFonts w:hint="eastAsia"/>
              </w:rPr>
              <w:t>年</w:t>
            </w:r>
            <w:r>
              <w:rPr>
                <w:rStyle w:val="af2"/>
                <w:rFonts w:hint="eastAsia"/>
              </w:rPr>
              <w:t>11</w:t>
            </w:r>
            <w:r>
              <w:rPr>
                <w:rStyle w:val="af2"/>
                <w:rFonts w:hint="eastAsia"/>
              </w:rPr>
              <w:t>月——</w:t>
            </w:r>
            <w:r>
              <w:rPr>
                <w:rStyle w:val="af2"/>
                <w:rFonts w:hint="eastAsia"/>
              </w:rPr>
              <w:t>2023</w:t>
            </w:r>
            <w:r>
              <w:rPr>
                <w:rStyle w:val="af2"/>
                <w:rFonts w:hint="eastAsia"/>
              </w:rPr>
              <w:t>年</w:t>
            </w:r>
            <w:r>
              <w:rPr>
                <w:rStyle w:val="af2"/>
                <w:rFonts w:hint="eastAsia"/>
              </w:rPr>
              <w:t>6</w:t>
            </w:r>
            <w:r>
              <w:rPr>
                <w:rStyle w:val="af2"/>
                <w:rFonts w:hint="eastAsia"/>
              </w:rPr>
              <w:t>月）</w:t>
            </w:r>
          </w:p>
          <w:p w14:paraId="3A776AD4" w14:textId="77777777" w:rsidR="00E22223" w:rsidRDefault="00000000">
            <w:pPr>
              <w:pStyle w:val="af"/>
              <w:numPr>
                <w:ilvl w:val="0"/>
                <w:numId w:val="16"/>
              </w:numPr>
              <w:ind w:left="0" w:rightChars="21" w:right="44" w:firstLineChars="0"/>
              <w:rPr>
                <w:sz w:val="24"/>
              </w:rPr>
            </w:pPr>
            <w:r>
              <w:rPr>
                <w:rFonts w:hint="eastAsia"/>
                <w:sz w:val="24"/>
              </w:rPr>
              <w:t xml:space="preserve"> </w:t>
            </w:r>
            <w:r>
              <w:rPr>
                <w:sz w:val="24"/>
              </w:rPr>
              <w:t xml:space="preserve"> </w:t>
            </w:r>
            <w:r>
              <w:rPr>
                <w:rFonts w:hint="eastAsia"/>
                <w:sz w:val="24"/>
              </w:rPr>
              <w:t>（</w:t>
            </w:r>
            <w:r>
              <w:rPr>
                <w:rFonts w:hint="eastAsia"/>
                <w:sz w:val="24"/>
              </w:rPr>
              <w:t>1</w:t>
            </w:r>
            <w:r>
              <w:rPr>
                <w:rFonts w:hint="eastAsia"/>
                <w:sz w:val="24"/>
              </w:rPr>
              <w:t>）探究</w:t>
            </w:r>
            <w:r>
              <w:rPr>
                <w:sz w:val="24"/>
              </w:rPr>
              <w:t>BERT</w:t>
            </w:r>
            <w:r>
              <w:rPr>
                <w:rFonts w:hint="eastAsia"/>
                <w:sz w:val="24"/>
              </w:rPr>
              <w:t>对分子序列信息的准确提取，使用</w:t>
            </w:r>
            <w:r>
              <w:rPr>
                <w:rFonts w:hint="eastAsia"/>
                <w:sz w:val="24"/>
              </w:rPr>
              <w:t>B</w:t>
            </w:r>
            <w:r>
              <w:rPr>
                <w:sz w:val="24"/>
              </w:rPr>
              <w:t>ERT</w:t>
            </w:r>
            <w:r>
              <w:rPr>
                <w:rFonts w:hint="eastAsia"/>
                <w:sz w:val="24"/>
              </w:rPr>
              <w:t>的</w:t>
            </w:r>
            <w:r>
              <w:rPr>
                <w:sz w:val="24"/>
              </w:rPr>
              <w:t>Transformer</w:t>
            </w:r>
            <w:r>
              <w:rPr>
                <w:rFonts w:hint="eastAsia"/>
                <w:sz w:val="24"/>
              </w:rPr>
              <w:t>编码器对药物分子、靶蛋白进行编码。</w:t>
            </w:r>
          </w:p>
          <w:p w14:paraId="124A2401" w14:textId="77777777" w:rsidR="00E22223" w:rsidRDefault="00000000">
            <w:pPr>
              <w:pStyle w:val="af"/>
              <w:numPr>
                <w:ilvl w:val="0"/>
                <w:numId w:val="16"/>
              </w:numPr>
              <w:ind w:left="0" w:rightChars="21" w:right="44" w:firstLineChars="0"/>
              <w:rPr>
                <w:sz w:val="24"/>
              </w:rPr>
            </w:pPr>
            <w:r>
              <w:rPr>
                <w:sz w:val="24"/>
              </w:rPr>
              <w:t xml:space="preserve">  </w:t>
            </w:r>
            <w:r>
              <w:rPr>
                <w:rFonts w:hint="eastAsia"/>
                <w:sz w:val="24"/>
              </w:rPr>
              <w:t>（</w:t>
            </w:r>
            <w:r>
              <w:rPr>
                <w:rFonts w:hint="eastAsia"/>
                <w:sz w:val="24"/>
              </w:rPr>
              <w:t>2</w:t>
            </w:r>
            <w:r>
              <w:rPr>
                <w:rFonts w:hint="eastAsia"/>
                <w:sz w:val="24"/>
              </w:rPr>
              <w:t>）组建</w:t>
            </w:r>
            <w:r>
              <w:rPr>
                <w:rFonts w:hint="eastAsia"/>
                <w:sz w:val="24"/>
              </w:rPr>
              <w:t>12</w:t>
            </w:r>
            <w:r>
              <w:rPr>
                <w:rFonts w:hint="eastAsia"/>
                <w:sz w:val="24"/>
              </w:rPr>
              <w:t>种关系网络，构建药物</w:t>
            </w:r>
            <w:r>
              <w:rPr>
                <w:rFonts w:hint="eastAsia"/>
                <w:sz w:val="24"/>
              </w:rPr>
              <w:t>-</w:t>
            </w:r>
            <w:r>
              <w:rPr>
                <w:rFonts w:hint="eastAsia"/>
                <w:sz w:val="24"/>
              </w:rPr>
              <w:t>靶点生物信息异构网络。利用图神经网络学习复杂异构关系网络的邻域信息，应用网络拓扑重构的方法来提取特征表示，得到节点嵌入特征。</w:t>
            </w:r>
          </w:p>
          <w:p w14:paraId="4153FDCD" w14:textId="77777777" w:rsidR="00E22223" w:rsidRDefault="00000000">
            <w:pPr>
              <w:pStyle w:val="af"/>
              <w:numPr>
                <w:ilvl w:val="0"/>
                <w:numId w:val="16"/>
              </w:numPr>
              <w:ind w:left="0" w:rightChars="21" w:right="44" w:firstLineChars="0"/>
              <w:rPr>
                <w:sz w:val="24"/>
              </w:rPr>
            </w:pPr>
            <w:r>
              <w:rPr>
                <w:rFonts w:hint="eastAsia"/>
                <w:sz w:val="24"/>
              </w:rPr>
              <w:t xml:space="preserve"> </w:t>
            </w:r>
            <w:r>
              <w:rPr>
                <w:sz w:val="24"/>
              </w:rPr>
              <w:t xml:space="preserve"> </w:t>
            </w:r>
            <w:r>
              <w:rPr>
                <w:rFonts w:hint="eastAsia"/>
                <w:sz w:val="24"/>
              </w:rPr>
              <w:t>（</w:t>
            </w:r>
            <w:r>
              <w:rPr>
                <w:rFonts w:hint="eastAsia"/>
                <w:sz w:val="24"/>
              </w:rPr>
              <w:t>3</w:t>
            </w:r>
            <w:r>
              <w:rPr>
                <w:rFonts w:hint="eastAsia"/>
                <w:sz w:val="24"/>
              </w:rPr>
              <w:t>）对模型进行训练，优化确定最优参数，实现端到端模型。</w:t>
            </w:r>
          </w:p>
          <w:p w14:paraId="4E3C673B" w14:textId="77777777" w:rsidR="00E22223" w:rsidRDefault="00000000">
            <w:pPr>
              <w:pStyle w:val="af"/>
              <w:numPr>
                <w:ilvl w:val="0"/>
                <w:numId w:val="16"/>
              </w:numPr>
              <w:ind w:left="0" w:rightChars="21" w:right="44" w:firstLineChars="0"/>
              <w:rPr>
                <w:sz w:val="24"/>
              </w:rPr>
            </w:pPr>
            <w:r>
              <w:rPr>
                <w:rFonts w:hint="eastAsia"/>
                <w:sz w:val="24"/>
              </w:rPr>
              <w:t xml:space="preserve"> </w:t>
            </w:r>
            <w:r>
              <w:rPr>
                <w:sz w:val="24"/>
              </w:rPr>
              <w:t xml:space="preserve"> </w:t>
            </w:r>
            <w:r>
              <w:rPr>
                <w:rFonts w:hint="eastAsia"/>
                <w:sz w:val="24"/>
              </w:rPr>
              <w:t>（</w:t>
            </w:r>
            <w:r>
              <w:rPr>
                <w:rFonts w:hint="eastAsia"/>
                <w:sz w:val="24"/>
              </w:rPr>
              <w:t>4</w:t>
            </w:r>
            <w:r>
              <w:rPr>
                <w:rFonts w:hint="eastAsia"/>
                <w:sz w:val="24"/>
              </w:rPr>
              <w:t>）根据已知的</w:t>
            </w:r>
            <w:r>
              <w:rPr>
                <w:rFonts w:hint="eastAsia"/>
                <w:sz w:val="24"/>
              </w:rPr>
              <w:t>C</w:t>
            </w:r>
            <w:r>
              <w:rPr>
                <w:sz w:val="24"/>
              </w:rPr>
              <w:t>OVID-</w:t>
            </w:r>
            <w:r>
              <w:rPr>
                <w:rFonts w:hint="eastAsia"/>
                <w:sz w:val="24"/>
              </w:rPr>
              <w:t>19</w:t>
            </w:r>
            <w:r>
              <w:rPr>
                <w:rFonts w:hint="eastAsia"/>
                <w:sz w:val="24"/>
              </w:rPr>
              <w:t>靶点预测可能影响新冠肺炎治疗的候选药物，</w:t>
            </w:r>
            <w:r>
              <w:rPr>
                <w:sz w:val="24"/>
              </w:rPr>
              <w:t>检测该模型的可靠性、准确性，并不断在实际测试中完善模型</w:t>
            </w:r>
            <w:r>
              <w:rPr>
                <w:rFonts w:hint="eastAsia"/>
                <w:sz w:val="24"/>
              </w:rPr>
              <w:t>。</w:t>
            </w:r>
          </w:p>
          <w:p w14:paraId="7E512064" w14:textId="77777777" w:rsidR="00E22223" w:rsidRDefault="00000000">
            <w:pPr>
              <w:pStyle w:val="af"/>
              <w:numPr>
                <w:ilvl w:val="0"/>
                <w:numId w:val="16"/>
              </w:numPr>
              <w:ind w:left="0" w:rightChars="21" w:right="44" w:firstLineChars="0"/>
              <w:rPr>
                <w:sz w:val="24"/>
              </w:rPr>
            </w:pPr>
            <w:r>
              <w:rPr>
                <w:rFonts w:hint="eastAsia"/>
                <w:sz w:val="24"/>
              </w:rPr>
              <w:t xml:space="preserve"> </w:t>
            </w:r>
            <w:r>
              <w:rPr>
                <w:sz w:val="24"/>
              </w:rPr>
              <w:t xml:space="preserve"> </w:t>
            </w:r>
            <w:r>
              <w:rPr>
                <w:rFonts w:hint="eastAsia"/>
                <w:sz w:val="24"/>
              </w:rPr>
              <w:t>（</w:t>
            </w:r>
            <w:r>
              <w:rPr>
                <w:rFonts w:hint="eastAsia"/>
                <w:sz w:val="24"/>
              </w:rPr>
              <w:t>5</w:t>
            </w:r>
            <w:r>
              <w:rPr>
                <w:rFonts w:hint="eastAsia"/>
                <w:sz w:val="24"/>
              </w:rPr>
              <w:t>）整合实验数据，编写代码，建立抗新冠病毒的药物预筛选模型。</w:t>
            </w:r>
          </w:p>
          <w:p w14:paraId="095493FE" w14:textId="77777777" w:rsidR="00E22223" w:rsidRDefault="00E22223">
            <w:pPr>
              <w:pStyle w:val="af"/>
              <w:ind w:rightChars="21" w:right="44" w:firstLineChars="0" w:firstLine="0"/>
              <w:rPr>
                <w:sz w:val="24"/>
              </w:rPr>
            </w:pPr>
          </w:p>
          <w:p w14:paraId="0CBE2DE6" w14:textId="77777777" w:rsidR="00E22223" w:rsidRDefault="00000000">
            <w:pPr>
              <w:pStyle w:val="af1"/>
              <w:numPr>
                <w:ilvl w:val="0"/>
                <w:numId w:val="12"/>
              </w:numPr>
              <w:ind w:left="709" w:hanging="704"/>
            </w:pPr>
            <w:r>
              <w:rPr>
                <w:rStyle w:val="af2"/>
                <w:rFonts w:hint="eastAsia"/>
                <w:b/>
                <w:bCs/>
              </w:rPr>
              <w:t>药物预筛选</w:t>
            </w:r>
            <w:r>
              <w:rPr>
                <w:rFonts w:hint="eastAsia"/>
              </w:rPr>
              <w:t>模型的分析与评估（</w:t>
            </w:r>
            <w:r>
              <w:rPr>
                <w:rFonts w:hint="eastAsia"/>
              </w:rPr>
              <w:t>2023</w:t>
            </w:r>
            <w:r>
              <w:rPr>
                <w:rFonts w:hint="eastAsia"/>
              </w:rPr>
              <w:t>年</w:t>
            </w:r>
            <w:r>
              <w:rPr>
                <w:rFonts w:hint="eastAsia"/>
              </w:rPr>
              <w:t>6</w:t>
            </w:r>
            <w:r>
              <w:rPr>
                <w:rFonts w:hint="eastAsia"/>
              </w:rPr>
              <w:t>月——</w:t>
            </w:r>
            <w:r>
              <w:rPr>
                <w:rFonts w:hint="eastAsia"/>
              </w:rPr>
              <w:t>2023</w:t>
            </w:r>
            <w:r>
              <w:rPr>
                <w:rFonts w:hint="eastAsia"/>
              </w:rPr>
              <w:t>年</w:t>
            </w:r>
            <w:r>
              <w:rPr>
                <w:rFonts w:hint="eastAsia"/>
              </w:rPr>
              <w:t>8</w:t>
            </w:r>
            <w:r>
              <w:rPr>
                <w:rFonts w:hint="eastAsia"/>
              </w:rPr>
              <w:t>月）</w:t>
            </w:r>
          </w:p>
          <w:p w14:paraId="76F393FD" w14:textId="77777777" w:rsidR="00E22223" w:rsidRDefault="00000000">
            <w:pPr>
              <w:ind w:rightChars="21" w:right="44" w:firstLineChars="100" w:firstLine="240"/>
              <w:rPr>
                <w:sz w:val="24"/>
              </w:rPr>
            </w:pPr>
            <w:r>
              <w:rPr>
                <w:rFonts w:hint="eastAsia"/>
                <w:sz w:val="24"/>
              </w:rPr>
              <w:t>（</w:t>
            </w:r>
            <w:r>
              <w:rPr>
                <w:rFonts w:hint="eastAsia"/>
                <w:sz w:val="24"/>
              </w:rPr>
              <w:t>1</w:t>
            </w:r>
            <w:r>
              <w:rPr>
                <w:rFonts w:hint="eastAsia"/>
                <w:sz w:val="24"/>
              </w:rPr>
              <w:t>）选取恰当的性能指标，对模型进行评估，分析模型的优势与不足。</w:t>
            </w:r>
          </w:p>
          <w:p w14:paraId="79813D07" w14:textId="77777777" w:rsidR="00E22223" w:rsidRDefault="00000000">
            <w:pPr>
              <w:pStyle w:val="af"/>
              <w:ind w:rightChars="21" w:right="44" w:firstLineChars="100" w:firstLine="240"/>
              <w:rPr>
                <w:sz w:val="24"/>
              </w:rPr>
            </w:pPr>
            <w:r>
              <w:rPr>
                <w:rFonts w:hint="eastAsia"/>
                <w:sz w:val="24"/>
              </w:rPr>
              <w:t>（</w:t>
            </w:r>
            <w:r>
              <w:rPr>
                <w:rFonts w:hint="eastAsia"/>
                <w:sz w:val="24"/>
              </w:rPr>
              <w:t>2</w:t>
            </w:r>
            <w:r>
              <w:rPr>
                <w:rFonts w:hint="eastAsia"/>
                <w:sz w:val="24"/>
              </w:rPr>
              <w:t>）设计比较实验，对模型优越性进行评估。</w:t>
            </w:r>
          </w:p>
          <w:p w14:paraId="6E0F39F0" w14:textId="77777777" w:rsidR="00E22223" w:rsidRDefault="00E22223">
            <w:pPr>
              <w:pStyle w:val="af"/>
              <w:ind w:rightChars="21" w:right="44" w:firstLineChars="0" w:firstLine="0"/>
              <w:rPr>
                <w:sz w:val="24"/>
              </w:rPr>
            </w:pPr>
          </w:p>
          <w:p w14:paraId="592EAAE4" w14:textId="77777777" w:rsidR="00E22223" w:rsidRDefault="00000000">
            <w:pPr>
              <w:pStyle w:val="af"/>
              <w:numPr>
                <w:ilvl w:val="0"/>
                <w:numId w:val="12"/>
              </w:numPr>
              <w:ind w:left="709" w:rightChars="21" w:right="44" w:firstLineChars="0" w:hanging="704"/>
              <w:rPr>
                <w:b/>
                <w:bCs/>
                <w:sz w:val="24"/>
              </w:rPr>
            </w:pPr>
            <w:r>
              <w:rPr>
                <w:rStyle w:val="af2"/>
                <w:rFonts w:hint="eastAsia"/>
              </w:rPr>
              <w:t>数据处理、项目结题（</w:t>
            </w:r>
            <w:r>
              <w:rPr>
                <w:rStyle w:val="af2"/>
                <w:rFonts w:hint="eastAsia"/>
              </w:rPr>
              <w:t>2023</w:t>
            </w:r>
            <w:r>
              <w:rPr>
                <w:rStyle w:val="af2"/>
                <w:rFonts w:hint="eastAsia"/>
              </w:rPr>
              <w:t>年</w:t>
            </w:r>
            <w:r>
              <w:rPr>
                <w:rStyle w:val="af2"/>
                <w:rFonts w:hint="eastAsia"/>
              </w:rPr>
              <w:t>8</w:t>
            </w:r>
            <w:r>
              <w:rPr>
                <w:rStyle w:val="af2"/>
                <w:rFonts w:hint="eastAsia"/>
              </w:rPr>
              <w:t>月——</w:t>
            </w:r>
            <w:r>
              <w:rPr>
                <w:rStyle w:val="af2"/>
                <w:rFonts w:hint="eastAsia"/>
              </w:rPr>
              <w:t>2023</w:t>
            </w:r>
            <w:r>
              <w:rPr>
                <w:rStyle w:val="af2"/>
                <w:rFonts w:hint="eastAsia"/>
              </w:rPr>
              <w:t>年</w:t>
            </w:r>
            <w:r>
              <w:rPr>
                <w:rStyle w:val="af2"/>
                <w:rFonts w:hint="eastAsia"/>
              </w:rPr>
              <w:t>10</w:t>
            </w:r>
            <w:r>
              <w:rPr>
                <w:rStyle w:val="af2"/>
                <w:rFonts w:hint="eastAsia"/>
              </w:rPr>
              <w:t>月）</w:t>
            </w:r>
          </w:p>
          <w:p w14:paraId="6E5ECCA9" w14:textId="77777777" w:rsidR="00E22223" w:rsidRDefault="00000000">
            <w:pPr>
              <w:pStyle w:val="af"/>
              <w:ind w:rightChars="21" w:right="44" w:firstLineChars="100" w:firstLine="240"/>
              <w:rPr>
                <w:sz w:val="24"/>
              </w:rPr>
            </w:pPr>
            <w:r>
              <w:rPr>
                <w:sz w:val="24"/>
              </w:rPr>
              <w:t>（</w:t>
            </w:r>
            <w:r>
              <w:rPr>
                <w:sz w:val="24"/>
              </w:rPr>
              <w:t>1</w:t>
            </w:r>
            <w:r>
              <w:rPr>
                <w:sz w:val="24"/>
              </w:rPr>
              <w:t>）</w:t>
            </w:r>
            <w:r>
              <w:rPr>
                <w:rFonts w:hint="eastAsia"/>
                <w:sz w:val="24"/>
              </w:rPr>
              <w:t>依据项目评估结果，对模型做最终优化</w:t>
            </w:r>
            <w:r>
              <w:rPr>
                <w:sz w:val="24"/>
              </w:rPr>
              <w:t>工作</w:t>
            </w:r>
            <w:r>
              <w:rPr>
                <w:rFonts w:hint="eastAsia"/>
                <w:sz w:val="24"/>
              </w:rPr>
              <w:t>。</w:t>
            </w:r>
            <w:r>
              <w:rPr>
                <w:sz w:val="24"/>
              </w:rPr>
              <w:t xml:space="preserve"> </w:t>
            </w:r>
          </w:p>
          <w:p w14:paraId="45DE5572" w14:textId="77777777" w:rsidR="00E22223" w:rsidRDefault="00000000">
            <w:pPr>
              <w:pStyle w:val="af"/>
              <w:ind w:rightChars="21" w:right="44" w:firstLineChars="100" w:firstLine="240"/>
              <w:rPr>
                <w:sz w:val="24"/>
              </w:rPr>
            </w:pPr>
            <w:r>
              <w:rPr>
                <w:sz w:val="24"/>
              </w:rPr>
              <w:t>（</w:t>
            </w:r>
            <w:r>
              <w:rPr>
                <w:sz w:val="24"/>
              </w:rPr>
              <w:t>2</w:t>
            </w:r>
            <w:r>
              <w:rPr>
                <w:sz w:val="24"/>
              </w:rPr>
              <w:t>）收集整理相关实验数据，发表相关学术论文。</w:t>
            </w:r>
          </w:p>
          <w:p w14:paraId="7D80DF89" w14:textId="77777777" w:rsidR="00E22223" w:rsidRDefault="00000000">
            <w:pPr>
              <w:pStyle w:val="af"/>
              <w:ind w:rightChars="21" w:right="44" w:firstLineChars="100" w:firstLine="240"/>
              <w:rPr>
                <w:sz w:val="24"/>
              </w:rPr>
            </w:pPr>
            <w:r>
              <w:rPr>
                <w:rFonts w:hint="eastAsia"/>
                <w:sz w:val="24"/>
              </w:rPr>
              <w:t>（</w:t>
            </w:r>
            <w:r>
              <w:rPr>
                <w:rFonts w:hint="eastAsia"/>
                <w:sz w:val="24"/>
              </w:rPr>
              <w:t>3</w:t>
            </w:r>
            <w:r>
              <w:rPr>
                <w:rFonts w:hint="eastAsia"/>
                <w:sz w:val="24"/>
              </w:rPr>
              <w:t>）</w:t>
            </w:r>
            <w:r>
              <w:rPr>
                <w:sz w:val="24"/>
              </w:rPr>
              <w:t>梳理项目流程，在各项研究完成的基础上撰写结题报告，完成结题</w:t>
            </w:r>
            <w:r>
              <w:rPr>
                <w:rFonts w:hint="eastAsia"/>
                <w:sz w:val="24"/>
              </w:rPr>
              <w:t>。</w:t>
            </w:r>
          </w:p>
          <w:p w14:paraId="540C84E7" w14:textId="77777777" w:rsidR="00E22223" w:rsidRDefault="00E22223">
            <w:pPr>
              <w:pStyle w:val="af"/>
              <w:ind w:rightChars="21" w:right="44" w:firstLineChars="0" w:firstLine="0"/>
              <w:rPr>
                <w:sz w:val="24"/>
              </w:rPr>
            </w:pPr>
          </w:p>
          <w:p w14:paraId="7F536EC0" w14:textId="77777777" w:rsidR="00E22223" w:rsidRDefault="00E22223">
            <w:pPr>
              <w:pStyle w:val="af"/>
              <w:ind w:rightChars="21" w:right="44" w:firstLineChars="0" w:firstLine="0"/>
              <w:rPr>
                <w:sz w:val="24"/>
              </w:rPr>
            </w:pPr>
          </w:p>
          <w:p w14:paraId="3ECCBDFA" w14:textId="77777777" w:rsidR="00E22223" w:rsidRDefault="00E22223">
            <w:pPr>
              <w:pStyle w:val="af"/>
              <w:ind w:rightChars="21" w:right="44" w:firstLineChars="0" w:firstLine="0"/>
              <w:rPr>
                <w:sz w:val="24"/>
              </w:rPr>
            </w:pPr>
          </w:p>
          <w:p w14:paraId="4FA0EDF8" w14:textId="77777777" w:rsidR="00E22223" w:rsidRDefault="00E22223">
            <w:pPr>
              <w:pStyle w:val="af"/>
              <w:ind w:rightChars="21" w:right="44" w:firstLineChars="0" w:firstLine="0"/>
              <w:rPr>
                <w:sz w:val="24"/>
              </w:rPr>
            </w:pPr>
          </w:p>
          <w:p w14:paraId="6BD62E3D" w14:textId="77777777" w:rsidR="00E22223" w:rsidRDefault="00E22223">
            <w:pPr>
              <w:pStyle w:val="af"/>
              <w:ind w:rightChars="21" w:right="44" w:firstLineChars="0" w:firstLine="0"/>
              <w:rPr>
                <w:sz w:val="24"/>
              </w:rPr>
            </w:pPr>
          </w:p>
          <w:p w14:paraId="12B8D0A0" w14:textId="77777777" w:rsidR="00E22223" w:rsidRDefault="00E22223">
            <w:pPr>
              <w:pStyle w:val="af"/>
              <w:ind w:rightChars="21" w:right="44" w:firstLineChars="0" w:firstLine="0"/>
              <w:rPr>
                <w:sz w:val="24"/>
              </w:rPr>
            </w:pPr>
          </w:p>
          <w:p w14:paraId="57284458" w14:textId="77777777" w:rsidR="00E22223" w:rsidRDefault="00E22223">
            <w:pPr>
              <w:pStyle w:val="af"/>
              <w:ind w:rightChars="21" w:right="44" w:firstLineChars="0" w:firstLine="0"/>
              <w:rPr>
                <w:sz w:val="24"/>
              </w:rPr>
            </w:pPr>
          </w:p>
          <w:p w14:paraId="3ED2C2FA" w14:textId="77777777" w:rsidR="00E22223" w:rsidRDefault="00E22223">
            <w:pPr>
              <w:pStyle w:val="af"/>
              <w:ind w:rightChars="21" w:right="44" w:firstLineChars="0" w:firstLine="0"/>
              <w:rPr>
                <w:sz w:val="24"/>
              </w:rPr>
            </w:pPr>
          </w:p>
          <w:p w14:paraId="368ED6F3" w14:textId="77777777" w:rsidR="00E22223" w:rsidRDefault="00E22223">
            <w:pPr>
              <w:pStyle w:val="af"/>
              <w:ind w:rightChars="21" w:right="44" w:firstLineChars="0" w:firstLine="0"/>
              <w:rPr>
                <w:sz w:val="24"/>
              </w:rPr>
            </w:pPr>
          </w:p>
          <w:p w14:paraId="20D8F1DC" w14:textId="77777777" w:rsidR="00E22223" w:rsidRDefault="00E22223">
            <w:pPr>
              <w:pStyle w:val="af"/>
              <w:ind w:rightChars="21" w:right="44" w:firstLineChars="0" w:firstLine="0"/>
              <w:rPr>
                <w:sz w:val="24"/>
              </w:rPr>
            </w:pPr>
          </w:p>
          <w:p w14:paraId="3DC346A2" w14:textId="77777777" w:rsidR="00E22223" w:rsidRDefault="00E22223">
            <w:pPr>
              <w:pStyle w:val="af"/>
              <w:ind w:rightChars="21" w:right="44" w:firstLineChars="0" w:firstLine="0"/>
              <w:rPr>
                <w:sz w:val="24"/>
              </w:rPr>
            </w:pPr>
          </w:p>
          <w:p w14:paraId="07799A29" w14:textId="77777777" w:rsidR="00E22223" w:rsidRDefault="00E22223">
            <w:pPr>
              <w:pStyle w:val="af"/>
              <w:ind w:rightChars="21" w:right="44" w:firstLineChars="0" w:firstLine="0"/>
              <w:rPr>
                <w:sz w:val="24"/>
              </w:rPr>
            </w:pPr>
          </w:p>
          <w:p w14:paraId="5F1BBA2F" w14:textId="77777777" w:rsidR="00E22223" w:rsidRDefault="00E22223">
            <w:pPr>
              <w:pStyle w:val="af"/>
              <w:ind w:rightChars="21" w:right="44" w:firstLineChars="0" w:firstLine="0"/>
              <w:rPr>
                <w:sz w:val="24"/>
              </w:rPr>
            </w:pPr>
          </w:p>
          <w:p w14:paraId="45C28C1E" w14:textId="77777777" w:rsidR="00E22223" w:rsidRDefault="00E22223">
            <w:pPr>
              <w:pStyle w:val="af"/>
              <w:ind w:rightChars="21" w:right="44" w:firstLineChars="0" w:firstLine="0"/>
              <w:rPr>
                <w:sz w:val="24"/>
              </w:rPr>
            </w:pPr>
          </w:p>
          <w:p w14:paraId="53863C14" w14:textId="77777777" w:rsidR="00E22223" w:rsidRDefault="00E22223">
            <w:pPr>
              <w:jc w:val="left"/>
              <w:rPr>
                <w:bCs/>
                <w:color w:val="000000" w:themeColor="text1"/>
                <w:sz w:val="24"/>
              </w:rPr>
            </w:pPr>
          </w:p>
        </w:tc>
      </w:tr>
    </w:tbl>
    <w:p w14:paraId="401B078E" w14:textId="77777777" w:rsidR="00E22223" w:rsidRDefault="00E22223">
      <w:pPr>
        <w:jc w:val="left"/>
        <w:rPr>
          <w:color w:val="000000" w:themeColor="text1"/>
        </w:rPr>
      </w:pPr>
    </w:p>
    <w:tbl>
      <w:tblPr>
        <w:tblW w:w="8295" w:type="dxa"/>
        <w:tblCellMar>
          <w:left w:w="0" w:type="dxa"/>
          <w:right w:w="0" w:type="dxa"/>
        </w:tblCellMar>
        <w:tblLook w:val="04A0" w:firstRow="1" w:lastRow="0" w:firstColumn="1" w:lastColumn="0" w:noHBand="0" w:noVBand="1"/>
      </w:tblPr>
      <w:tblGrid>
        <w:gridCol w:w="1620"/>
        <w:gridCol w:w="6675"/>
      </w:tblGrid>
      <w:tr w:rsidR="00E22223" w14:paraId="07CFDA2A" w14:textId="77777777">
        <w:trPr>
          <w:trHeight w:val="285"/>
        </w:trPr>
        <w:tc>
          <w:tcPr>
            <w:tcW w:w="8295" w:type="dxa"/>
            <w:gridSpan w:val="2"/>
            <w:tcBorders>
              <w:top w:val="nil"/>
              <w:left w:val="nil"/>
              <w:bottom w:val="nil"/>
              <w:right w:val="nil"/>
            </w:tcBorders>
            <w:tcMar>
              <w:top w:w="15" w:type="dxa"/>
              <w:left w:w="15" w:type="dxa"/>
              <w:bottom w:w="0" w:type="dxa"/>
              <w:right w:w="15" w:type="dxa"/>
            </w:tcMar>
            <w:vAlign w:val="center"/>
          </w:tcPr>
          <w:p w14:paraId="67FD9F29" w14:textId="77777777" w:rsidR="00E22223" w:rsidRDefault="00000000">
            <w:pPr>
              <w:rPr>
                <w:rFonts w:ascii="仿宋_GB2312" w:eastAsia="仿宋_GB2312" w:hAnsi="宋体"/>
                <w:b/>
                <w:bCs/>
                <w:color w:val="000000" w:themeColor="text1"/>
                <w:sz w:val="28"/>
              </w:rPr>
            </w:pPr>
            <w:r>
              <w:rPr>
                <w:rFonts w:ascii="仿宋_GB2312" w:eastAsia="仿宋_GB2312" w:hint="eastAsia"/>
                <w:b/>
                <w:bCs/>
                <w:color w:val="000000" w:themeColor="text1"/>
                <w:sz w:val="28"/>
              </w:rPr>
              <w:lastRenderedPageBreak/>
              <w:t>五、项目研究支撑条件</w:t>
            </w:r>
            <w:r>
              <w:rPr>
                <w:rFonts w:ascii="仿宋_GB2312" w:eastAsia="仿宋_GB2312" w:hint="eastAsia"/>
                <w:b/>
                <w:bCs/>
                <w:color w:val="000000" w:themeColor="text1"/>
                <w:sz w:val="24"/>
              </w:rPr>
              <w:t>（项目</w:t>
            </w:r>
            <w:r>
              <w:rPr>
                <w:rFonts w:ascii="仿宋_GB2312" w:eastAsia="仿宋_GB2312"/>
                <w:b/>
                <w:bCs/>
                <w:color w:val="000000" w:themeColor="text1"/>
                <w:sz w:val="24"/>
              </w:rPr>
              <w:t>所依托</w:t>
            </w:r>
            <w:r>
              <w:rPr>
                <w:rFonts w:ascii="仿宋_GB2312" w:eastAsia="仿宋_GB2312" w:hint="eastAsia"/>
                <w:b/>
                <w:bCs/>
                <w:color w:val="000000" w:themeColor="text1"/>
                <w:sz w:val="24"/>
              </w:rPr>
              <w:t>的重点实验室（中心</w:t>
            </w:r>
            <w:r>
              <w:rPr>
                <w:rFonts w:ascii="仿宋_GB2312" w:eastAsia="仿宋_GB2312"/>
                <w:b/>
                <w:bCs/>
                <w:color w:val="000000" w:themeColor="text1"/>
                <w:sz w:val="24"/>
              </w:rPr>
              <w:t>、</w:t>
            </w:r>
            <w:r>
              <w:rPr>
                <w:rFonts w:ascii="仿宋_GB2312" w:eastAsia="仿宋_GB2312" w:hint="eastAsia"/>
                <w:b/>
                <w:bCs/>
                <w:color w:val="000000" w:themeColor="text1"/>
                <w:sz w:val="24"/>
              </w:rPr>
              <w:t>平台）、</w:t>
            </w:r>
            <w:r>
              <w:rPr>
                <w:rFonts w:ascii="仿宋_GB2312" w:eastAsia="仿宋_GB2312"/>
                <w:b/>
                <w:bCs/>
                <w:color w:val="000000" w:themeColor="text1"/>
                <w:sz w:val="24"/>
              </w:rPr>
              <w:t>双创平台</w:t>
            </w:r>
            <w:r>
              <w:rPr>
                <w:rFonts w:ascii="仿宋_GB2312" w:eastAsia="仿宋_GB2312" w:hint="eastAsia"/>
                <w:b/>
                <w:bCs/>
                <w:color w:val="000000" w:themeColor="text1"/>
                <w:sz w:val="24"/>
              </w:rPr>
              <w:t>、</w:t>
            </w:r>
            <w:r>
              <w:rPr>
                <w:rFonts w:ascii="仿宋_GB2312" w:eastAsia="仿宋_GB2312"/>
                <w:b/>
                <w:bCs/>
                <w:color w:val="000000" w:themeColor="text1"/>
                <w:sz w:val="24"/>
              </w:rPr>
              <w:t>课题组</w:t>
            </w:r>
            <w:r>
              <w:rPr>
                <w:rFonts w:ascii="仿宋_GB2312" w:eastAsia="仿宋_GB2312" w:hint="eastAsia"/>
                <w:b/>
                <w:bCs/>
                <w:color w:val="000000" w:themeColor="text1"/>
                <w:sz w:val="24"/>
              </w:rPr>
              <w:t>等各类单位</w:t>
            </w:r>
            <w:r>
              <w:rPr>
                <w:rFonts w:ascii="仿宋_GB2312" w:eastAsia="仿宋_GB2312"/>
                <w:b/>
                <w:bCs/>
                <w:color w:val="000000" w:themeColor="text1"/>
                <w:sz w:val="24"/>
              </w:rPr>
              <w:t>能提供的</w:t>
            </w:r>
            <w:r>
              <w:rPr>
                <w:rFonts w:ascii="仿宋_GB2312" w:eastAsia="仿宋_GB2312" w:hint="eastAsia"/>
                <w:b/>
                <w:bCs/>
                <w:color w:val="000000" w:themeColor="text1"/>
                <w:sz w:val="24"/>
              </w:rPr>
              <w:t>直接支持</w:t>
            </w:r>
            <w:r>
              <w:rPr>
                <w:rFonts w:ascii="仿宋_GB2312" w:eastAsia="仿宋_GB2312"/>
                <w:b/>
                <w:bCs/>
                <w:color w:val="000000" w:themeColor="text1"/>
                <w:sz w:val="24"/>
              </w:rPr>
              <w:t>项目开展的</w:t>
            </w:r>
            <w:r>
              <w:rPr>
                <w:rFonts w:ascii="仿宋_GB2312" w:eastAsia="仿宋_GB2312" w:hint="eastAsia"/>
                <w:b/>
                <w:bCs/>
                <w:color w:val="000000" w:themeColor="text1"/>
                <w:sz w:val="24"/>
              </w:rPr>
              <w:t>软硬件</w:t>
            </w:r>
            <w:r>
              <w:rPr>
                <w:rFonts w:ascii="仿宋_GB2312" w:eastAsia="仿宋_GB2312"/>
                <w:b/>
                <w:bCs/>
                <w:color w:val="000000" w:themeColor="text1"/>
                <w:sz w:val="24"/>
              </w:rPr>
              <w:t>设施</w:t>
            </w:r>
            <w:r>
              <w:rPr>
                <w:rFonts w:ascii="仿宋_GB2312" w:eastAsia="仿宋_GB2312" w:hint="eastAsia"/>
                <w:b/>
                <w:bCs/>
                <w:color w:val="000000" w:themeColor="text1"/>
                <w:sz w:val="24"/>
              </w:rPr>
              <w:t>和</w:t>
            </w:r>
            <w:r>
              <w:rPr>
                <w:rFonts w:ascii="仿宋_GB2312" w:eastAsia="仿宋_GB2312"/>
                <w:b/>
                <w:bCs/>
                <w:color w:val="000000" w:themeColor="text1"/>
                <w:sz w:val="24"/>
              </w:rPr>
              <w:t>其他校内外资源</w:t>
            </w:r>
            <w:r>
              <w:rPr>
                <w:rFonts w:ascii="仿宋_GB2312" w:eastAsia="仿宋_GB2312" w:hint="eastAsia"/>
                <w:b/>
                <w:bCs/>
                <w:color w:val="000000" w:themeColor="text1"/>
                <w:sz w:val="24"/>
              </w:rPr>
              <w:t>）</w:t>
            </w:r>
          </w:p>
        </w:tc>
      </w:tr>
      <w:tr w:rsidR="00E22223" w14:paraId="5A108A27" w14:textId="77777777">
        <w:tc>
          <w:tcPr>
            <w:tcW w:w="8295" w:type="dxa"/>
            <w:gridSpan w:val="2"/>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tcPr>
          <w:p w14:paraId="4BF130CF" w14:textId="77777777" w:rsidR="00E22223" w:rsidRDefault="00000000">
            <w:pPr>
              <w:pStyle w:val="af1"/>
              <w:numPr>
                <w:ilvl w:val="0"/>
                <w:numId w:val="17"/>
              </w:numPr>
            </w:pPr>
            <w:r>
              <w:rPr>
                <w:rFonts w:hint="eastAsia"/>
              </w:rPr>
              <w:t>指导老师团队支撑</w:t>
            </w:r>
          </w:p>
          <w:p w14:paraId="7EEA4DD6" w14:textId="77777777" w:rsidR="00E22223" w:rsidRDefault="00000000">
            <w:pPr>
              <w:pStyle w:val="af"/>
              <w:ind w:rightChars="21" w:right="44" w:firstLine="480"/>
              <w:rPr>
                <w:color w:val="000000" w:themeColor="text1"/>
                <w:sz w:val="24"/>
              </w:rPr>
            </w:pPr>
            <w:r>
              <w:rPr>
                <w:rFonts w:hint="eastAsia"/>
                <w:color w:val="000000" w:themeColor="text1"/>
                <w:sz w:val="24"/>
              </w:rPr>
              <w:t>本项目指导老师为吕志彬。现为副研究员，理学博士，担任</w:t>
            </w:r>
            <w:r>
              <w:rPr>
                <w:rFonts w:hint="eastAsia"/>
                <w:color w:val="000000" w:themeColor="text1"/>
                <w:sz w:val="24"/>
              </w:rPr>
              <w:t>Frontiers in Genetics Associated Editor</w:t>
            </w:r>
            <w:r>
              <w:rPr>
                <w:rFonts w:hint="eastAsia"/>
                <w:color w:val="000000" w:themeColor="text1"/>
                <w:sz w:val="24"/>
              </w:rPr>
              <w:t>同时担任</w:t>
            </w:r>
            <w:r>
              <w:rPr>
                <w:rFonts w:hint="eastAsia"/>
                <w:color w:val="000000" w:themeColor="text1"/>
                <w:sz w:val="24"/>
              </w:rPr>
              <w:t xml:space="preserve">Frontier in Bioengineering and Biotechnology </w:t>
            </w:r>
            <w:r>
              <w:rPr>
                <w:rFonts w:hint="eastAsia"/>
                <w:color w:val="000000" w:themeColor="text1"/>
                <w:sz w:val="24"/>
              </w:rPr>
              <w:t>和</w:t>
            </w:r>
            <w:r>
              <w:rPr>
                <w:rFonts w:hint="eastAsia"/>
                <w:color w:val="000000" w:themeColor="text1"/>
                <w:sz w:val="24"/>
              </w:rPr>
              <w:t>Frontier in Bioinformatics Guest Editor</w:t>
            </w:r>
            <w:r>
              <w:rPr>
                <w:rFonts w:hint="eastAsia"/>
                <w:color w:val="000000" w:themeColor="text1"/>
                <w:sz w:val="24"/>
              </w:rPr>
              <w:t>。</w:t>
            </w:r>
          </w:p>
          <w:p w14:paraId="7DB9065F" w14:textId="77777777" w:rsidR="00E22223" w:rsidRDefault="00000000">
            <w:pPr>
              <w:pStyle w:val="af"/>
              <w:ind w:rightChars="21" w:right="44" w:firstLine="480"/>
              <w:rPr>
                <w:color w:val="000000" w:themeColor="text1"/>
                <w:sz w:val="24"/>
              </w:rPr>
            </w:pPr>
            <w:r>
              <w:rPr>
                <w:rFonts w:hint="eastAsia"/>
                <w:color w:val="000000" w:themeColor="text1"/>
                <w:sz w:val="24"/>
              </w:rPr>
              <w:t>吕志彬老师</w:t>
            </w:r>
            <w:r>
              <w:rPr>
                <w:rFonts w:hint="eastAsia"/>
                <w:color w:val="000000" w:themeColor="text1"/>
                <w:sz w:val="24"/>
              </w:rPr>
              <w:t>2013</w:t>
            </w:r>
            <w:r>
              <w:rPr>
                <w:rFonts w:hint="eastAsia"/>
                <w:color w:val="000000" w:themeColor="text1"/>
                <w:sz w:val="24"/>
              </w:rPr>
              <w:t>年博士毕业于北京大学。</w:t>
            </w:r>
            <w:r>
              <w:rPr>
                <w:rFonts w:hint="eastAsia"/>
                <w:color w:val="000000" w:themeColor="text1"/>
                <w:sz w:val="24"/>
              </w:rPr>
              <w:t>2013-2021</w:t>
            </w:r>
            <w:r>
              <w:rPr>
                <w:rFonts w:hint="eastAsia"/>
                <w:color w:val="000000" w:themeColor="text1"/>
                <w:sz w:val="24"/>
              </w:rPr>
              <w:t>先后在中国工程物理研究院、中国化工集团、电子科技大学从事跨学科的基础应用科学研究，并先后担任助理研究员、高级工程师、事业部副总经理。</w:t>
            </w:r>
          </w:p>
          <w:p w14:paraId="3E365FA0" w14:textId="77777777" w:rsidR="00E22223" w:rsidRDefault="00000000">
            <w:pPr>
              <w:pStyle w:val="af"/>
              <w:ind w:rightChars="21" w:right="44" w:firstLine="480"/>
              <w:rPr>
                <w:color w:val="000000" w:themeColor="text1"/>
                <w:sz w:val="24"/>
              </w:rPr>
            </w:pPr>
            <w:r>
              <w:rPr>
                <w:rFonts w:hint="eastAsia"/>
                <w:color w:val="000000" w:themeColor="text1"/>
                <w:sz w:val="24"/>
              </w:rPr>
              <w:t>吕志彬老师长期从事材料</w:t>
            </w:r>
            <w:r>
              <w:rPr>
                <w:rFonts w:hint="eastAsia"/>
                <w:color w:val="000000" w:themeColor="text1"/>
                <w:sz w:val="24"/>
              </w:rPr>
              <w:t>/</w:t>
            </w:r>
            <w:r>
              <w:rPr>
                <w:rFonts w:hint="eastAsia"/>
                <w:color w:val="000000" w:themeColor="text1"/>
                <w:sz w:val="24"/>
              </w:rPr>
              <w:t>化学</w:t>
            </w:r>
            <w:r>
              <w:rPr>
                <w:rFonts w:hint="eastAsia"/>
                <w:color w:val="000000" w:themeColor="text1"/>
                <w:sz w:val="24"/>
              </w:rPr>
              <w:t>/</w:t>
            </w:r>
            <w:r>
              <w:rPr>
                <w:rFonts w:hint="eastAsia"/>
                <w:color w:val="000000" w:themeColor="text1"/>
                <w:sz w:val="24"/>
              </w:rPr>
              <w:t>生物</w:t>
            </w:r>
            <w:r>
              <w:rPr>
                <w:rFonts w:hint="eastAsia"/>
                <w:color w:val="000000" w:themeColor="text1"/>
                <w:sz w:val="24"/>
              </w:rPr>
              <w:t>/</w:t>
            </w:r>
            <w:r>
              <w:rPr>
                <w:rFonts w:hint="eastAsia"/>
                <w:color w:val="000000" w:themeColor="text1"/>
                <w:sz w:val="24"/>
              </w:rPr>
              <w:t>机器学习的跨学科研究。迄今发表</w:t>
            </w:r>
            <w:r>
              <w:rPr>
                <w:rFonts w:hint="eastAsia"/>
                <w:color w:val="000000" w:themeColor="text1"/>
                <w:sz w:val="24"/>
              </w:rPr>
              <w:t>SCI</w:t>
            </w:r>
            <w:r>
              <w:rPr>
                <w:rFonts w:hint="eastAsia"/>
                <w:color w:val="000000" w:themeColor="text1"/>
                <w:sz w:val="24"/>
              </w:rPr>
              <w:t>收录</w:t>
            </w:r>
            <w:r>
              <w:rPr>
                <w:rFonts w:hint="eastAsia"/>
                <w:color w:val="000000" w:themeColor="text1"/>
                <w:sz w:val="24"/>
              </w:rPr>
              <w:t>27</w:t>
            </w:r>
            <w:r>
              <w:rPr>
                <w:rFonts w:hint="eastAsia"/>
                <w:color w:val="000000" w:themeColor="text1"/>
                <w:sz w:val="24"/>
              </w:rPr>
              <w:t>篇，其中中科院一区论文</w:t>
            </w:r>
            <w:r>
              <w:rPr>
                <w:rFonts w:hint="eastAsia"/>
                <w:color w:val="000000" w:themeColor="text1"/>
                <w:sz w:val="24"/>
              </w:rPr>
              <w:t>9</w:t>
            </w:r>
            <w:r>
              <w:rPr>
                <w:rFonts w:hint="eastAsia"/>
                <w:color w:val="000000" w:themeColor="text1"/>
                <w:sz w:val="24"/>
              </w:rPr>
              <w:t>篇，高被引论文</w:t>
            </w:r>
            <w:r>
              <w:rPr>
                <w:rFonts w:hint="eastAsia"/>
                <w:color w:val="000000" w:themeColor="text1"/>
                <w:sz w:val="24"/>
              </w:rPr>
              <w:t>2</w:t>
            </w:r>
            <w:r>
              <w:rPr>
                <w:rFonts w:hint="eastAsia"/>
                <w:color w:val="000000" w:themeColor="text1"/>
                <w:sz w:val="24"/>
              </w:rPr>
              <w:t>篇，单篇第</w:t>
            </w:r>
            <w:r>
              <w:rPr>
                <w:rFonts w:hint="eastAsia"/>
                <w:color w:val="000000" w:themeColor="text1"/>
                <w:sz w:val="24"/>
              </w:rPr>
              <w:t>1</w:t>
            </w:r>
            <w:r>
              <w:rPr>
                <w:rFonts w:hint="eastAsia"/>
                <w:color w:val="000000" w:themeColor="text1"/>
                <w:sz w:val="24"/>
              </w:rPr>
              <w:t>作者最高影响因子超过</w:t>
            </w:r>
            <w:r>
              <w:rPr>
                <w:rFonts w:hint="eastAsia"/>
                <w:color w:val="000000" w:themeColor="text1"/>
                <w:sz w:val="24"/>
              </w:rPr>
              <w:t>30</w:t>
            </w:r>
            <w:r>
              <w:rPr>
                <w:rFonts w:hint="eastAsia"/>
                <w:color w:val="000000" w:themeColor="text1"/>
                <w:sz w:val="24"/>
              </w:rPr>
              <w:t>，个人</w:t>
            </w:r>
            <w:r>
              <w:rPr>
                <w:rFonts w:hint="eastAsia"/>
                <w:color w:val="000000" w:themeColor="text1"/>
                <w:sz w:val="24"/>
              </w:rPr>
              <w:t>h</w:t>
            </w:r>
            <w:r>
              <w:rPr>
                <w:rFonts w:hint="eastAsia"/>
                <w:color w:val="000000" w:themeColor="text1"/>
                <w:sz w:val="24"/>
              </w:rPr>
              <w:t>因子</w:t>
            </w:r>
            <w:r>
              <w:rPr>
                <w:rFonts w:hint="eastAsia"/>
                <w:color w:val="000000" w:themeColor="text1"/>
                <w:sz w:val="24"/>
              </w:rPr>
              <w:t>19</w:t>
            </w:r>
            <w:r>
              <w:rPr>
                <w:rFonts w:hint="eastAsia"/>
                <w:color w:val="000000" w:themeColor="text1"/>
                <w:sz w:val="24"/>
              </w:rPr>
              <w:t>，文章累计引用超过</w:t>
            </w:r>
            <w:r>
              <w:rPr>
                <w:rFonts w:hint="eastAsia"/>
                <w:color w:val="000000" w:themeColor="text1"/>
                <w:sz w:val="24"/>
              </w:rPr>
              <w:t>1700</w:t>
            </w:r>
            <w:r>
              <w:rPr>
                <w:rFonts w:hint="eastAsia"/>
                <w:color w:val="000000" w:themeColor="text1"/>
                <w:sz w:val="24"/>
              </w:rPr>
              <w:t>次。主要一作或者通讯作者期刊有</w:t>
            </w:r>
            <w:r>
              <w:rPr>
                <w:rFonts w:hint="eastAsia"/>
                <w:color w:val="000000" w:themeColor="text1"/>
                <w:sz w:val="24"/>
              </w:rPr>
              <w:t>: Energy &amp; Environmental Science</w:t>
            </w:r>
            <w:r>
              <w:rPr>
                <w:rFonts w:hint="eastAsia"/>
                <w:color w:val="000000" w:themeColor="text1"/>
                <w:sz w:val="24"/>
              </w:rPr>
              <w:t>、</w:t>
            </w:r>
            <w:r>
              <w:rPr>
                <w:rFonts w:hint="eastAsia"/>
                <w:color w:val="000000" w:themeColor="text1"/>
                <w:sz w:val="24"/>
              </w:rPr>
              <w:t xml:space="preserve"> Nanoscale</w:t>
            </w:r>
            <w:r>
              <w:rPr>
                <w:rFonts w:hint="eastAsia"/>
                <w:color w:val="000000" w:themeColor="text1"/>
                <w:sz w:val="24"/>
              </w:rPr>
              <w:t>、</w:t>
            </w:r>
            <w:r>
              <w:rPr>
                <w:rFonts w:hint="eastAsia"/>
                <w:color w:val="000000" w:themeColor="text1"/>
                <w:sz w:val="24"/>
              </w:rPr>
              <w:t>Nano Energy</w:t>
            </w:r>
            <w:r>
              <w:rPr>
                <w:rFonts w:hint="eastAsia"/>
                <w:color w:val="000000" w:themeColor="text1"/>
                <w:sz w:val="24"/>
              </w:rPr>
              <w:t>、</w:t>
            </w:r>
            <w:r>
              <w:rPr>
                <w:rFonts w:hint="eastAsia"/>
                <w:color w:val="000000" w:themeColor="text1"/>
                <w:sz w:val="24"/>
              </w:rPr>
              <w:t>Bioinformatics</w:t>
            </w:r>
            <w:r>
              <w:rPr>
                <w:rFonts w:hint="eastAsia"/>
                <w:color w:val="000000" w:themeColor="text1"/>
                <w:sz w:val="24"/>
              </w:rPr>
              <w:t>、</w:t>
            </w:r>
            <w:r>
              <w:rPr>
                <w:rFonts w:hint="eastAsia"/>
                <w:color w:val="000000" w:themeColor="text1"/>
                <w:sz w:val="24"/>
              </w:rPr>
              <w:t>Briefings in Bioinformatics</w:t>
            </w:r>
            <w:r>
              <w:rPr>
                <w:rFonts w:hint="eastAsia"/>
                <w:color w:val="000000" w:themeColor="text1"/>
                <w:sz w:val="24"/>
              </w:rPr>
              <w:t>等。主持国家自然科学基金、四川大学人才基金等项目累计</w:t>
            </w:r>
            <w:r>
              <w:rPr>
                <w:rFonts w:hint="eastAsia"/>
                <w:color w:val="000000" w:themeColor="text1"/>
                <w:sz w:val="24"/>
              </w:rPr>
              <w:t>4</w:t>
            </w:r>
            <w:r>
              <w:rPr>
                <w:rFonts w:hint="eastAsia"/>
                <w:color w:val="000000" w:themeColor="text1"/>
                <w:sz w:val="24"/>
              </w:rPr>
              <w:t>项，累计经费超过</w:t>
            </w:r>
            <w:r>
              <w:rPr>
                <w:rFonts w:hint="eastAsia"/>
                <w:color w:val="000000" w:themeColor="text1"/>
                <w:sz w:val="24"/>
              </w:rPr>
              <w:t>150</w:t>
            </w:r>
            <w:r>
              <w:rPr>
                <w:rFonts w:hint="eastAsia"/>
                <w:color w:val="000000" w:themeColor="text1"/>
                <w:sz w:val="24"/>
              </w:rPr>
              <w:t>万；参与的项目有</w:t>
            </w:r>
            <w:r>
              <w:rPr>
                <w:rFonts w:hint="eastAsia"/>
                <w:color w:val="000000" w:themeColor="text1"/>
                <w:sz w:val="24"/>
              </w:rPr>
              <w:t>973</w:t>
            </w:r>
            <w:r>
              <w:rPr>
                <w:rFonts w:hint="eastAsia"/>
                <w:color w:val="000000" w:themeColor="text1"/>
                <w:sz w:val="24"/>
              </w:rPr>
              <w:t>项目、国家自然科学基金重点项目、教育部重点项目等。获得教育部自然科学奖二等奖</w:t>
            </w:r>
            <w:r>
              <w:rPr>
                <w:rFonts w:hint="eastAsia"/>
                <w:color w:val="000000" w:themeColor="text1"/>
                <w:sz w:val="24"/>
              </w:rPr>
              <w:t>1</w:t>
            </w:r>
            <w:r>
              <w:rPr>
                <w:rFonts w:hint="eastAsia"/>
                <w:color w:val="000000" w:themeColor="text1"/>
                <w:sz w:val="24"/>
              </w:rPr>
              <w:t>项。</w:t>
            </w:r>
          </w:p>
          <w:p w14:paraId="46FF535E" w14:textId="77777777" w:rsidR="00E22223" w:rsidRDefault="00000000">
            <w:pPr>
              <w:pStyle w:val="af"/>
              <w:ind w:rightChars="21" w:right="44" w:firstLine="480"/>
              <w:rPr>
                <w:color w:val="000000" w:themeColor="text1"/>
                <w:sz w:val="24"/>
              </w:rPr>
            </w:pPr>
            <w:r>
              <w:rPr>
                <w:rFonts w:hint="eastAsia"/>
                <w:color w:val="000000" w:themeColor="text1"/>
                <w:sz w:val="24"/>
              </w:rPr>
              <w:t>吕志彬老师对待学生热情、严谨、有责任心，相信在吕志彬老师的带领下，我们的项目可以有条不紊的进行。</w:t>
            </w:r>
            <w:r>
              <w:rPr>
                <w:color w:val="000000" w:themeColor="text1"/>
                <w:sz w:val="24"/>
              </w:rPr>
              <w:cr/>
            </w:r>
          </w:p>
          <w:p w14:paraId="4C2E199C" w14:textId="77777777" w:rsidR="00E22223" w:rsidRDefault="00E22223">
            <w:pPr>
              <w:pStyle w:val="af"/>
              <w:ind w:left="504" w:firstLineChars="0" w:firstLine="0"/>
              <w:rPr>
                <w:b/>
                <w:bCs/>
                <w:color w:val="000000" w:themeColor="text1"/>
                <w:sz w:val="24"/>
              </w:rPr>
            </w:pPr>
          </w:p>
          <w:p w14:paraId="1F99550F" w14:textId="77777777" w:rsidR="00E22223" w:rsidRDefault="00000000">
            <w:pPr>
              <w:pStyle w:val="af1"/>
              <w:numPr>
                <w:ilvl w:val="0"/>
                <w:numId w:val="17"/>
              </w:numPr>
            </w:pPr>
            <w:r>
              <w:rPr>
                <w:rFonts w:hint="eastAsia"/>
              </w:rPr>
              <w:t>数据来源</w:t>
            </w:r>
          </w:p>
          <w:p w14:paraId="5860DCB1" w14:textId="77777777" w:rsidR="00E22223" w:rsidRDefault="00000000">
            <w:pPr>
              <w:pStyle w:val="af"/>
              <w:ind w:leftChars="-2" w:left="-4" w:rightChars="21" w:right="44" w:firstLine="480"/>
              <w:rPr>
                <w:rFonts w:cs="Segoe UI"/>
                <w:color w:val="24292F"/>
                <w:sz w:val="24"/>
                <w:shd w:val="clear" w:color="auto" w:fill="FFFFFF"/>
              </w:rPr>
            </w:pPr>
            <w:r>
              <w:rPr>
                <w:rFonts w:hint="eastAsia"/>
                <w:color w:val="000000" w:themeColor="text1"/>
                <w:sz w:val="24"/>
              </w:rPr>
              <w:t>本项目所需的药物、靶蛋白等分子信息数据，来自于</w:t>
            </w:r>
            <w:r>
              <w:rPr>
                <w:rFonts w:hint="eastAsia"/>
                <w:sz w:val="24"/>
              </w:rPr>
              <w:t>Binding</w:t>
            </w:r>
            <w:r>
              <w:rPr>
                <w:sz w:val="24"/>
              </w:rPr>
              <w:t>DB</w:t>
            </w:r>
            <w:r>
              <w:rPr>
                <w:rFonts w:hint="eastAsia"/>
                <w:sz w:val="24"/>
              </w:rPr>
              <w:t>、</w:t>
            </w:r>
            <w:r>
              <w:rPr>
                <w:rFonts w:hint="eastAsia"/>
                <w:sz w:val="24"/>
              </w:rPr>
              <w:t>D</w:t>
            </w:r>
            <w:r>
              <w:rPr>
                <w:sz w:val="24"/>
              </w:rPr>
              <w:t>AVIS</w:t>
            </w:r>
            <w:r>
              <w:rPr>
                <w:rFonts w:hint="eastAsia"/>
                <w:sz w:val="24"/>
              </w:rPr>
              <w:t>、</w:t>
            </w:r>
            <w:r>
              <w:rPr>
                <w:rFonts w:hint="eastAsia"/>
                <w:sz w:val="24"/>
              </w:rPr>
              <w:t>K</w:t>
            </w:r>
            <w:r>
              <w:rPr>
                <w:sz w:val="24"/>
              </w:rPr>
              <w:t>IBA</w:t>
            </w:r>
            <w:r>
              <w:rPr>
                <w:rFonts w:hint="eastAsia"/>
                <w:sz w:val="24"/>
              </w:rPr>
              <w:t>、</w:t>
            </w:r>
            <w:r>
              <w:rPr>
                <w:rFonts w:hint="eastAsia"/>
                <w:sz w:val="24"/>
              </w:rPr>
              <w:t>Durg</w:t>
            </w:r>
            <w:r>
              <w:rPr>
                <w:sz w:val="24"/>
              </w:rPr>
              <w:t xml:space="preserve"> B</w:t>
            </w:r>
            <w:r>
              <w:rPr>
                <w:rFonts w:hint="eastAsia"/>
                <w:sz w:val="24"/>
              </w:rPr>
              <w:t>ank</w:t>
            </w:r>
            <w:r>
              <w:rPr>
                <w:rFonts w:hint="eastAsia"/>
                <w:sz w:val="24"/>
              </w:rPr>
              <w:t>、</w:t>
            </w:r>
            <w:r>
              <w:rPr>
                <w:rFonts w:hint="eastAsia"/>
                <w:sz w:val="24"/>
              </w:rPr>
              <w:t>S</w:t>
            </w:r>
            <w:r>
              <w:rPr>
                <w:sz w:val="24"/>
              </w:rPr>
              <w:t>IDER</w:t>
            </w:r>
            <w:r>
              <w:rPr>
                <w:rFonts w:hint="eastAsia"/>
                <w:sz w:val="24"/>
              </w:rPr>
              <w:t>、</w:t>
            </w:r>
            <w:r>
              <w:rPr>
                <w:rFonts w:hint="eastAsia"/>
                <w:sz w:val="24"/>
              </w:rPr>
              <w:t>H</w:t>
            </w:r>
            <w:r>
              <w:rPr>
                <w:sz w:val="24"/>
              </w:rPr>
              <w:t>PRD</w:t>
            </w:r>
            <w:r>
              <w:rPr>
                <w:rFonts w:hint="eastAsia"/>
                <w:sz w:val="24"/>
              </w:rPr>
              <w:t>、</w:t>
            </w:r>
            <w:r>
              <w:rPr>
                <w:rFonts w:hint="eastAsia"/>
                <w:sz w:val="24"/>
              </w:rPr>
              <w:t>C</w:t>
            </w:r>
            <w:r>
              <w:rPr>
                <w:sz w:val="24"/>
              </w:rPr>
              <w:t>TD</w:t>
            </w:r>
            <w:r>
              <w:rPr>
                <w:rFonts w:hint="eastAsia"/>
                <w:sz w:val="24"/>
              </w:rPr>
              <w:t>为主的公共药物、靶点基准数据集，蛋白质数据库</w:t>
            </w:r>
            <w:r>
              <w:rPr>
                <w:sz w:val="24"/>
              </w:rPr>
              <w:t>Universal Protein</w:t>
            </w:r>
            <w:r>
              <w:rPr>
                <w:rFonts w:hint="eastAsia"/>
                <w:sz w:val="24"/>
              </w:rPr>
              <w:t>（</w:t>
            </w:r>
            <w:r>
              <w:rPr>
                <w:rFonts w:hint="eastAsia"/>
                <w:sz w:val="24"/>
              </w:rPr>
              <w:t>UniProt</w:t>
            </w:r>
            <w:r>
              <w:rPr>
                <w:rFonts w:hint="eastAsia"/>
                <w:sz w:val="24"/>
              </w:rPr>
              <w:t>），开源的药物重利用数据集</w:t>
            </w:r>
            <w:r>
              <w:rPr>
                <w:sz w:val="24"/>
              </w:rPr>
              <w:t>Curated Antiviral Drugs Library</w:t>
            </w:r>
            <w:r>
              <w:rPr>
                <w:rFonts w:hint="eastAsia"/>
                <w:sz w:val="24"/>
              </w:rPr>
              <w:t>、</w:t>
            </w:r>
            <w:r>
              <w:rPr>
                <w:sz w:val="24"/>
              </w:rPr>
              <w:t>Broad Repurposing Hub</w:t>
            </w:r>
            <w:r>
              <w:rPr>
                <w:rFonts w:hint="eastAsia"/>
                <w:sz w:val="24"/>
              </w:rPr>
              <w:t>，麻省理工学院</w:t>
            </w:r>
            <w:r>
              <w:rPr>
                <w:rFonts w:hint="eastAsia"/>
                <w:sz w:val="24"/>
              </w:rPr>
              <w:t>A</w:t>
            </w:r>
            <w:r>
              <w:rPr>
                <w:sz w:val="24"/>
              </w:rPr>
              <w:t>I C</w:t>
            </w:r>
            <w:r>
              <w:rPr>
                <w:rFonts w:hint="eastAsia"/>
                <w:sz w:val="24"/>
              </w:rPr>
              <w:t>ures</w:t>
            </w:r>
            <w:r>
              <w:rPr>
                <w:rFonts w:hint="eastAsia"/>
                <w:sz w:val="24"/>
              </w:rPr>
              <w:t>提供的</w:t>
            </w:r>
            <w:r>
              <w:rPr>
                <w:rFonts w:hint="eastAsia"/>
                <w:sz w:val="24"/>
              </w:rPr>
              <w:t>C</w:t>
            </w:r>
            <w:r>
              <w:rPr>
                <w:sz w:val="24"/>
              </w:rPr>
              <w:t>OVID-19</w:t>
            </w:r>
            <w:r>
              <w:rPr>
                <w:rFonts w:hint="eastAsia"/>
                <w:sz w:val="24"/>
              </w:rPr>
              <w:t>生物测序数据</w:t>
            </w:r>
            <w:r>
              <w:rPr>
                <w:rFonts w:hint="eastAsia"/>
                <w:sz w:val="24"/>
              </w:rPr>
              <w:t>A</w:t>
            </w:r>
            <w:r>
              <w:rPr>
                <w:sz w:val="24"/>
              </w:rPr>
              <w:t>ID1706</w:t>
            </w:r>
            <w:r>
              <w:rPr>
                <w:rFonts w:hint="eastAsia"/>
                <w:sz w:val="24"/>
              </w:rPr>
              <w:t>，以及靶点</w:t>
            </w:r>
            <w:r>
              <w:rPr>
                <w:rFonts w:cs="Segoe UI"/>
                <w:color w:val="24292F"/>
                <w:sz w:val="24"/>
                <w:shd w:val="clear" w:color="auto" w:fill="FFFFFF"/>
              </w:rPr>
              <w:t>SARS-CoV2 3CL Protease</w:t>
            </w:r>
            <w:r>
              <w:rPr>
                <w:rFonts w:cs="Segoe UI" w:hint="eastAsia"/>
                <w:color w:val="24292F"/>
                <w:sz w:val="24"/>
                <w:shd w:val="clear" w:color="auto" w:fill="FFFFFF"/>
              </w:rPr>
              <w:t>、</w:t>
            </w:r>
            <w:r>
              <w:rPr>
                <w:rFonts w:cs="Segoe UI"/>
                <w:color w:val="24292F"/>
                <w:sz w:val="24"/>
                <w:shd w:val="clear" w:color="auto" w:fill="FFFFFF"/>
              </w:rPr>
              <w:t>SARS_CoV2 RNA Polymerase</w:t>
            </w:r>
            <w:r>
              <w:rPr>
                <w:rFonts w:cs="Segoe UI" w:hint="eastAsia"/>
                <w:color w:val="24292F"/>
                <w:sz w:val="24"/>
                <w:shd w:val="clear" w:color="auto" w:fill="FFFFFF"/>
              </w:rPr>
              <w:t>、</w:t>
            </w:r>
            <w:r>
              <w:rPr>
                <w:rFonts w:cs="Segoe UI"/>
                <w:color w:val="24292F"/>
                <w:sz w:val="24"/>
                <w:shd w:val="clear" w:color="auto" w:fill="FFFFFF"/>
              </w:rPr>
              <w:t>SARS-CoV2 Helicase</w:t>
            </w:r>
            <w:r>
              <w:rPr>
                <w:rFonts w:cs="Segoe UI" w:hint="eastAsia"/>
                <w:color w:val="24292F"/>
                <w:sz w:val="24"/>
                <w:shd w:val="clear" w:color="auto" w:fill="FFFFFF"/>
              </w:rPr>
              <w:t>等，数据具有广泛性、准确性、科学性，认可度高。</w:t>
            </w:r>
          </w:p>
          <w:p w14:paraId="16FF4DA4" w14:textId="77777777" w:rsidR="00E22223" w:rsidRDefault="00E22223">
            <w:pPr>
              <w:rPr>
                <w:color w:val="000000" w:themeColor="text1"/>
                <w:sz w:val="24"/>
              </w:rPr>
            </w:pPr>
          </w:p>
          <w:p w14:paraId="5B525029" w14:textId="77777777" w:rsidR="00E22223" w:rsidRDefault="00E22223">
            <w:pPr>
              <w:rPr>
                <w:b/>
                <w:bCs/>
                <w:color w:val="000000" w:themeColor="text1"/>
                <w:sz w:val="24"/>
              </w:rPr>
            </w:pPr>
          </w:p>
          <w:p w14:paraId="7FDA2EF3" w14:textId="77777777" w:rsidR="00E22223" w:rsidRDefault="00E22223">
            <w:pPr>
              <w:rPr>
                <w:b/>
                <w:bCs/>
                <w:color w:val="000000" w:themeColor="text1"/>
                <w:sz w:val="24"/>
              </w:rPr>
            </w:pPr>
          </w:p>
          <w:p w14:paraId="70481C5B" w14:textId="77777777" w:rsidR="00E22223" w:rsidRDefault="00E22223">
            <w:pPr>
              <w:rPr>
                <w:b/>
                <w:bCs/>
                <w:color w:val="000000" w:themeColor="text1"/>
                <w:sz w:val="24"/>
              </w:rPr>
            </w:pPr>
          </w:p>
          <w:p w14:paraId="1974C779" w14:textId="77777777" w:rsidR="00E22223" w:rsidRDefault="00E22223">
            <w:pPr>
              <w:rPr>
                <w:b/>
                <w:bCs/>
                <w:color w:val="000000" w:themeColor="text1"/>
                <w:sz w:val="24"/>
              </w:rPr>
            </w:pPr>
          </w:p>
          <w:p w14:paraId="30151C8A" w14:textId="77777777" w:rsidR="00E22223" w:rsidRDefault="00E22223">
            <w:pPr>
              <w:rPr>
                <w:b/>
                <w:bCs/>
                <w:color w:val="000000" w:themeColor="text1"/>
                <w:sz w:val="24"/>
              </w:rPr>
            </w:pPr>
          </w:p>
          <w:p w14:paraId="34F49AB9" w14:textId="77777777" w:rsidR="00E22223" w:rsidRDefault="00E22223">
            <w:pPr>
              <w:rPr>
                <w:b/>
                <w:bCs/>
                <w:color w:val="000000" w:themeColor="text1"/>
                <w:sz w:val="24"/>
              </w:rPr>
            </w:pPr>
          </w:p>
          <w:p w14:paraId="26E074B7" w14:textId="77777777" w:rsidR="00E22223" w:rsidRDefault="00E22223">
            <w:pPr>
              <w:rPr>
                <w:b/>
                <w:bCs/>
                <w:color w:val="000000" w:themeColor="text1"/>
                <w:sz w:val="24"/>
              </w:rPr>
            </w:pPr>
          </w:p>
          <w:p w14:paraId="0BEA4B3A" w14:textId="77777777" w:rsidR="00E22223" w:rsidRDefault="00E22223">
            <w:pPr>
              <w:rPr>
                <w:b/>
                <w:bCs/>
                <w:color w:val="000000" w:themeColor="text1"/>
                <w:sz w:val="24"/>
              </w:rPr>
            </w:pPr>
          </w:p>
          <w:p w14:paraId="3654B322" w14:textId="77777777" w:rsidR="00E22223" w:rsidRDefault="00E22223">
            <w:pPr>
              <w:rPr>
                <w:b/>
                <w:bCs/>
                <w:color w:val="000000" w:themeColor="text1"/>
                <w:sz w:val="24"/>
              </w:rPr>
            </w:pPr>
          </w:p>
          <w:p w14:paraId="6A68E8A1" w14:textId="77777777" w:rsidR="00E22223" w:rsidRDefault="00E22223">
            <w:pPr>
              <w:rPr>
                <w:b/>
                <w:bCs/>
                <w:color w:val="000000" w:themeColor="text1"/>
                <w:sz w:val="24"/>
              </w:rPr>
            </w:pPr>
          </w:p>
          <w:p w14:paraId="55B15B0D" w14:textId="77777777" w:rsidR="00E22223" w:rsidRDefault="00E22223">
            <w:pPr>
              <w:rPr>
                <w:b/>
                <w:bCs/>
                <w:color w:val="000000" w:themeColor="text1"/>
                <w:sz w:val="24"/>
              </w:rPr>
            </w:pPr>
          </w:p>
          <w:p w14:paraId="0FFEF783" w14:textId="77777777" w:rsidR="00E22223" w:rsidRDefault="00E22223">
            <w:pPr>
              <w:rPr>
                <w:b/>
                <w:bCs/>
                <w:color w:val="000000" w:themeColor="text1"/>
                <w:sz w:val="24"/>
              </w:rPr>
            </w:pPr>
          </w:p>
          <w:p w14:paraId="436A24BF" w14:textId="77777777" w:rsidR="00E22223" w:rsidRDefault="00E22223">
            <w:pPr>
              <w:rPr>
                <w:b/>
                <w:bCs/>
                <w:color w:val="000000" w:themeColor="text1"/>
                <w:sz w:val="24"/>
              </w:rPr>
            </w:pPr>
          </w:p>
        </w:tc>
      </w:tr>
      <w:tr w:rsidR="00E22223" w14:paraId="1E6A756C" w14:textId="77777777">
        <w:trPr>
          <w:trHeight w:val="285"/>
        </w:trPr>
        <w:tc>
          <w:tcPr>
            <w:tcW w:w="1620" w:type="dxa"/>
            <w:tcBorders>
              <w:top w:val="nil"/>
              <w:left w:val="nil"/>
              <w:bottom w:val="nil"/>
              <w:right w:val="nil"/>
            </w:tcBorders>
            <w:tcMar>
              <w:top w:w="15" w:type="dxa"/>
              <w:left w:w="15" w:type="dxa"/>
              <w:bottom w:w="0" w:type="dxa"/>
              <w:right w:w="15" w:type="dxa"/>
            </w:tcMar>
            <w:vAlign w:val="center"/>
          </w:tcPr>
          <w:p w14:paraId="4790E10B" w14:textId="77777777" w:rsidR="00E22223" w:rsidRDefault="00E22223">
            <w:pPr>
              <w:rPr>
                <w:rFonts w:ascii="仿宋_GB2312" w:eastAsia="仿宋_GB2312" w:hAnsi="宋体"/>
                <w:b/>
                <w:bCs/>
                <w:color w:val="000000" w:themeColor="text1"/>
                <w:sz w:val="28"/>
              </w:rPr>
            </w:pPr>
          </w:p>
        </w:tc>
        <w:tc>
          <w:tcPr>
            <w:tcW w:w="6675" w:type="dxa"/>
            <w:tcBorders>
              <w:top w:val="nil"/>
              <w:left w:val="nil"/>
              <w:bottom w:val="nil"/>
              <w:right w:val="nil"/>
            </w:tcBorders>
            <w:tcMar>
              <w:top w:w="15" w:type="dxa"/>
              <w:left w:w="15" w:type="dxa"/>
              <w:bottom w:w="0" w:type="dxa"/>
              <w:right w:w="15" w:type="dxa"/>
            </w:tcMar>
            <w:vAlign w:val="center"/>
          </w:tcPr>
          <w:p w14:paraId="1C164BE6" w14:textId="77777777" w:rsidR="00E22223" w:rsidRDefault="00E22223">
            <w:pPr>
              <w:rPr>
                <w:rFonts w:ascii="仿宋_GB2312" w:eastAsia="仿宋_GB2312" w:hAnsi="宋体"/>
                <w:b/>
                <w:bCs/>
                <w:color w:val="000000" w:themeColor="text1"/>
                <w:sz w:val="28"/>
              </w:rPr>
            </w:pPr>
          </w:p>
        </w:tc>
      </w:tr>
      <w:tr w:rsidR="00E22223" w14:paraId="0570948A" w14:textId="77777777">
        <w:trPr>
          <w:trHeight w:val="285"/>
        </w:trPr>
        <w:tc>
          <w:tcPr>
            <w:tcW w:w="8295" w:type="dxa"/>
            <w:gridSpan w:val="2"/>
            <w:tcBorders>
              <w:top w:val="nil"/>
              <w:left w:val="nil"/>
              <w:bottom w:val="nil"/>
              <w:right w:val="nil"/>
            </w:tcBorders>
            <w:tcMar>
              <w:top w:w="15" w:type="dxa"/>
              <w:left w:w="15" w:type="dxa"/>
              <w:bottom w:w="0" w:type="dxa"/>
              <w:right w:w="15" w:type="dxa"/>
            </w:tcMar>
            <w:vAlign w:val="center"/>
          </w:tcPr>
          <w:p w14:paraId="752772EB" w14:textId="77777777" w:rsidR="00E22223" w:rsidRDefault="00000000">
            <w:pPr>
              <w:rPr>
                <w:rFonts w:ascii="仿宋_GB2312" w:eastAsia="仿宋_GB2312" w:hAnsi="宋体"/>
                <w:b/>
                <w:bCs/>
                <w:color w:val="000000" w:themeColor="text1"/>
                <w:sz w:val="28"/>
              </w:rPr>
            </w:pPr>
            <w:r>
              <w:rPr>
                <w:rFonts w:ascii="仿宋_GB2312" w:eastAsia="仿宋_GB2312" w:hint="eastAsia"/>
                <w:b/>
                <w:bCs/>
                <w:color w:val="000000" w:themeColor="text1"/>
                <w:sz w:val="28"/>
              </w:rPr>
              <w:lastRenderedPageBreak/>
              <w:t>六、预期成果形式（可多选）</w:t>
            </w:r>
          </w:p>
        </w:tc>
      </w:tr>
      <w:tr w:rsidR="00E22223" w14:paraId="72B7D06D" w14:textId="77777777">
        <w:trPr>
          <w:trHeight w:val="3467"/>
        </w:trPr>
        <w:tc>
          <w:tcPr>
            <w:tcW w:w="8295" w:type="dxa"/>
            <w:gridSpan w:val="2"/>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tcPr>
          <w:p w14:paraId="4AFF2CA7" w14:textId="77777777" w:rsidR="00E22223" w:rsidRDefault="00000000">
            <w:pPr>
              <w:spacing w:line="360" w:lineRule="auto"/>
              <w:ind w:firstLineChars="150" w:firstLine="315"/>
              <w:rPr>
                <w:rFonts w:ascii="宋体" w:hAnsi="宋体"/>
                <w:color w:val="000000" w:themeColor="text1"/>
                <w:szCs w:val="21"/>
              </w:rPr>
            </w:pPr>
            <w:r>
              <w:rPr>
                <w:rFonts w:ascii="宋体" w:hAnsi="宋体" w:hint="eastAsia"/>
                <w:color w:val="000000" w:themeColor="text1"/>
                <w:szCs w:val="21"/>
              </w:rPr>
              <w:t>（</w:t>
            </w:r>
            <w:r>
              <w:rPr>
                <w:rFonts w:ascii="宋体" w:hAnsi="宋体"/>
                <w:color w:val="000000" w:themeColor="text1"/>
                <w:szCs w:val="21"/>
              </w:rPr>
              <w:t>1）</w:t>
            </w:r>
            <w:r>
              <w:rPr>
                <w:rFonts w:ascii="宋体" w:hAnsi="宋体" w:hint="eastAsia"/>
                <w:color w:val="000000" w:themeColor="text1"/>
                <w:szCs w:val="21"/>
              </w:rPr>
              <w:t>□</w:t>
            </w:r>
            <w:r>
              <w:rPr>
                <w:rFonts w:ascii="宋体" w:hAnsi="宋体"/>
                <w:color w:val="000000" w:themeColor="text1"/>
                <w:szCs w:val="21"/>
              </w:rPr>
              <w:t>SCI论文</w:t>
            </w:r>
            <w:r>
              <w:rPr>
                <w:rFonts w:ascii="宋体" w:hAnsi="宋体"/>
                <w:color w:val="000000" w:themeColor="text1"/>
                <w:szCs w:val="21"/>
                <w:u w:val="single"/>
              </w:rPr>
              <w:t xml:space="preserve">  </w:t>
            </w:r>
            <w:r>
              <w:rPr>
                <w:rFonts w:ascii="宋体" w:hAnsi="宋体" w:hint="eastAsia"/>
                <w:color w:val="000000" w:themeColor="text1"/>
                <w:szCs w:val="21"/>
              </w:rPr>
              <w:t>篇</w:t>
            </w:r>
            <w:r>
              <w:rPr>
                <w:rFonts w:ascii="宋体" w:hAnsi="宋体"/>
                <w:color w:val="000000" w:themeColor="text1"/>
                <w:szCs w:val="21"/>
              </w:rPr>
              <w:t xml:space="preserve">  </w:t>
            </w:r>
          </w:p>
          <w:p w14:paraId="3A60D730" w14:textId="77777777" w:rsidR="00E22223" w:rsidRDefault="00000000">
            <w:pPr>
              <w:spacing w:line="360" w:lineRule="auto"/>
              <w:ind w:firstLineChars="150" w:firstLine="315"/>
              <w:rPr>
                <w:rFonts w:ascii="宋体" w:hAnsi="宋体"/>
                <w:color w:val="000000" w:themeColor="text1"/>
                <w:szCs w:val="21"/>
              </w:rPr>
            </w:pPr>
            <w:r>
              <w:rPr>
                <w:rFonts w:ascii="宋体" w:hAnsi="宋体" w:hint="eastAsia"/>
                <w:color w:val="000000" w:themeColor="text1"/>
                <w:szCs w:val="21"/>
              </w:rPr>
              <w:t>（</w:t>
            </w:r>
            <w:r>
              <w:rPr>
                <w:rFonts w:ascii="宋体" w:hAnsi="宋体"/>
                <w:color w:val="000000" w:themeColor="text1"/>
                <w:szCs w:val="21"/>
              </w:rPr>
              <w:t>2）</w:t>
            </w:r>
            <w:r>
              <w:rPr>
                <w:rFonts w:ascii="宋体" w:hAnsi="宋体" w:hint="eastAsia"/>
                <w:color w:val="000000" w:themeColor="text1"/>
                <w:szCs w:val="21"/>
              </w:rPr>
              <w:t>√核心期刊论文</w:t>
            </w:r>
            <w:r>
              <w:rPr>
                <w:rFonts w:ascii="宋体" w:hAnsi="宋体"/>
                <w:color w:val="000000" w:themeColor="text1"/>
                <w:szCs w:val="21"/>
                <w:u w:val="single"/>
              </w:rPr>
              <w:t xml:space="preserve"> </w:t>
            </w:r>
            <w:r>
              <w:rPr>
                <w:rFonts w:ascii="宋体" w:hAnsi="宋体" w:hint="eastAsia"/>
                <w:color w:val="000000" w:themeColor="text1"/>
                <w:szCs w:val="21"/>
                <w:u w:val="single"/>
              </w:rPr>
              <w:t>1</w:t>
            </w:r>
            <w:r>
              <w:rPr>
                <w:rFonts w:ascii="宋体" w:hAnsi="宋体"/>
                <w:color w:val="000000" w:themeColor="text1"/>
                <w:szCs w:val="21"/>
                <w:u w:val="single"/>
              </w:rPr>
              <w:t xml:space="preserve"> </w:t>
            </w:r>
            <w:r>
              <w:rPr>
                <w:rFonts w:ascii="宋体" w:hAnsi="宋体" w:hint="eastAsia"/>
                <w:color w:val="000000" w:themeColor="text1"/>
                <w:szCs w:val="21"/>
              </w:rPr>
              <w:t>篇</w:t>
            </w:r>
            <w:r>
              <w:rPr>
                <w:rFonts w:ascii="宋体" w:hAnsi="宋体"/>
                <w:color w:val="000000" w:themeColor="text1"/>
                <w:szCs w:val="21"/>
              </w:rPr>
              <w:t xml:space="preserve">  </w:t>
            </w:r>
          </w:p>
          <w:p w14:paraId="302C2215" w14:textId="77777777" w:rsidR="00E22223" w:rsidRDefault="00000000">
            <w:pPr>
              <w:spacing w:line="360" w:lineRule="auto"/>
              <w:ind w:firstLineChars="150" w:firstLine="315"/>
              <w:rPr>
                <w:rFonts w:ascii="宋体" w:hAnsi="宋体"/>
                <w:color w:val="000000" w:themeColor="text1"/>
                <w:szCs w:val="21"/>
              </w:rPr>
            </w:pPr>
            <w:r>
              <w:rPr>
                <w:rFonts w:ascii="宋体" w:hAnsi="宋体" w:hint="eastAsia"/>
                <w:color w:val="000000" w:themeColor="text1"/>
                <w:szCs w:val="21"/>
              </w:rPr>
              <w:t>（</w:t>
            </w:r>
            <w:r>
              <w:rPr>
                <w:rFonts w:ascii="宋体" w:hAnsi="宋体"/>
                <w:color w:val="000000" w:themeColor="text1"/>
                <w:szCs w:val="21"/>
              </w:rPr>
              <w:t>3）</w:t>
            </w:r>
            <w:r>
              <w:rPr>
                <w:rFonts w:ascii="宋体" w:hAnsi="宋体" w:hint="eastAsia"/>
                <w:color w:val="000000" w:themeColor="text1"/>
                <w:szCs w:val="21"/>
              </w:rPr>
              <w:t>□会议论文</w:t>
            </w:r>
            <w:r>
              <w:rPr>
                <w:rFonts w:ascii="宋体" w:hAnsi="宋体"/>
                <w:color w:val="000000" w:themeColor="text1"/>
                <w:szCs w:val="21"/>
                <w:u w:val="single"/>
              </w:rPr>
              <w:t xml:space="preserve">  </w:t>
            </w:r>
            <w:r>
              <w:rPr>
                <w:rFonts w:ascii="宋体" w:hAnsi="宋体" w:hint="eastAsia"/>
                <w:color w:val="000000" w:themeColor="text1"/>
                <w:szCs w:val="21"/>
              </w:rPr>
              <w:t>篇</w:t>
            </w:r>
            <w:r>
              <w:rPr>
                <w:rFonts w:ascii="宋体" w:hAnsi="宋体"/>
                <w:color w:val="000000" w:themeColor="text1"/>
                <w:szCs w:val="21"/>
              </w:rPr>
              <w:t xml:space="preserve">  </w:t>
            </w:r>
          </w:p>
          <w:p w14:paraId="28244AB5" w14:textId="77777777" w:rsidR="00E22223" w:rsidRDefault="00000000">
            <w:pPr>
              <w:spacing w:line="360" w:lineRule="auto"/>
              <w:ind w:firstLineChars="150" w:firstLine="315"/>
              <w:rPr>
                <w:rFonts w:ascii="宋体" w:hAnsi="宋体"/>
                <w:color w:val="000000" w:themeColor="text1"/>
                <w:szCs w:val="21"/>
              </w:rPr>
            </w:pPr>
            <w:r>
              <w:rPr>
                <w:rFonts w:ascii="宋体" w:hAnsi="宋体" w:hint="eastAsia"/>
                <w:color w:val="000000" w:themeColor="text1"/>
                <w:szCs w:val="21"/>
              </w:rPr>
              <w:t>（</w:t>
            </w:r>
            <w:r>
              <w:rPr>
                <w:rFonts w:ascii="宋体" w:hAnsi="宋体"/>
                <w:color w:val="000000" w:themeColor="text1"/>
                <w:szCs w:val="21"/>
              </w:rPr>
              <w:t>4）</w:t>
            </w:r>
            <w:r>
              <w:rPr>
                <w:rFonts w:ascii="宋体" w:hAnsi="宋体" w:hint="eastAsia"/>
                <w:color w:val="000000" w:themeColor="text1"/>
                <w:szCs w:val="21"/>
              </w:rPr>
              <w:t>□内部编印期刊</w:t>
            </w:r>
            <w:r>
              <w:rPr>
                <w:rFonts w:ascii="宋体" w:hAnsi="宋体"/>
                <w:color w:val="000000" w:themeColor="text1"/>
                <w:szCs w:val="21"/>
              </w:rPr>
              <w:t>论文</w:t>
            </w:r>
            <w:r>
              <w:rPr>
                <w:rFonts w:ascii="宋体" w:hAnsi="宋体"/>
                <w:color w:val="000000" w:themeColor="text1"/>
                <w:szCs w:val="21"/>
                <w:u w:val="single"/>
              </w:rPr>
              <w:t xml:space="preserve">  </w:t>
            </w:r>
            <w:r>
              <w:rPr>
                <w:rFonts w:ascii="宋体" w:hAnsi="宋体" w:hint="eastAsia"/>
                <w:color w:val="000000" w:themeColor="text1"/>
                <w:szCs w:val="21"/>
              </w:rPr>
              <w:t>篇</w:t>
            </w:r>
          </w:p>
          <w:p w14:paraId="1352DBBF" w14:textId="77777777" w:rsidR="00E22223" w:rsidRDefault="00000000">
            <w:pPr>
              <w:spacing w:line="360" w:lineRule="auto"/>
              <w:ind w:firstLineChars="150" w:firstLine="315"/>
              <w:rPr>
                <w:rFonts w:ascii="宋体" w:hAnsi="宋体"/>
                <w:color w:val="000000" w:themeColor="text1"/>
                <w:szCs w:val="21"/>
              </w:rPr>
            </w:pPr>
            <w:r>
              <w:rPr>
                <w:rFonts w:ascii="宋体" w:hAnsi="宋体" w:hint="eastAsia"/>
                <w:color w:val="000000" w:themeColor="text1"/>
                <w:szCs w:val="21"/>
              </w:rPr>
              <w:t>（</w:t>
            </w:r>
            <w:r>
              <w:rPr>
                <w:rFonts w:ascii="宋体" w:hAnsi="宋体"/>
                <w:color w:val="000000" w:themeColor="text1"/>
                <w:szCs w:val="21"/>
              </w:rPr>
              <w:t>5）</w:t>
            </w:r>
            <w:r>
              <w:rPr>
                <w:rFonts w:ascii="宋体" w:hAnsi="宋体" w:hint="eastAsia"/>
                <w:color w:val="000000" w:themeColor="text1"/>
                <w:szCs w:val="21"/>
              </w:rPr>
              <w:t>□授权发明专利</w:t>
            </w:r>
            <w:r>
              <w:rPr>
                <w:rFonts w:ascii="宋体" w:hAnsi="宋体"/>
                <w:color w:val="000000" w:themeColor="text1"/>
                <w:szCs w:val="21"/>
                <w:u w:val="single"/>
              </w:rPr>
              <w:t xml:space="preserve">  </w:t>
            </w:r>
            <w:r>
              <w:rPr>
                <w:rFonts w:ascii="宋体" w:hAnsi="宋体" w:hint="eastAsia"/>
                <w:color w:val="000000" w:themeColor="text1"/>
                <w:szCs w:val="21"/>
              </w:rPr>
              <w:t>项</w:t>
            </w:r>
            <w:r>
              <w:rPr>
                <w:rFonts w:ascii="宋体" w:hAnsi="宋体"/>
                <w:color w:val="000000" w:themeColor="text1"/>
                <w:szCs w:val="21"/>
              </w:rPr>
              <w:t xml:space="preserve">  </w:t>
            </w:r>
          </w:p>
          <w:p w14:paraId="6CC4E7A1" w14:textId="77777777" w:rsidR="00E22223" w:rsidRDefault="00000000">
            <w:pPr>
              <w:spacing w:line="360" w:lineRule="auto"/>
              <w:ind w:firstLineChars="150" w:firstLine="315"/>
              <w:rPr>
                <w:rFonts w:ascii="宋体" w:hAnsi="宋体"/>
                <w:color w:val="000000" w:themeColor="text1"/>
                <w:szCs w:val="21"/>
              </w:rPr>
            </w:pPr>
            <w:r>
              <w:rPr>
                <w:rFonts w:ascii="宋体" w:hAnsi="宋体" w:hint="eastAsia"/>
                <w:color w:val="000000" w:themeColor="text1"/>
                <w:szCs w:val="21"/>
              </w:rPr>
              <w:t>（</w:t>
            </w:r>
            <w:r>
              <w:rPr>
                <w:rFonts w:ascii="宋体" w:hAnsi="宋体"/>
                <w:color w:val="000000" w:themeColor="text1"/>
                <w:szCs w:val="21"/>
              </w:rPr>
              <w:t>6）</w:t>
            </w:r>
            <w:r>
              <w:rPr>
                <w:rFonts w:ascii="宋体" w:hAnsi="宋体" w:hint="eastAsia"/>
                <w:color w:val="000000" w:themeColor="text1"/>
                <w:szCs w:val="21"/>
              </w:rPr>
              <w:t>□申请</w:t>
            </w:r>
            <w:r>
              <w:rPr>
                <w:rFonts w:ascii="宋体" w:hAnsi="宋体"/>
                <w:color w:val="000000" w:themeColor="text1"/>
                <w:szCs w:val="21"/>
              </w:rPr>
              <w:t>发明专利</w:t>
            </w:r>
            <w:r>
              <w:rPr>
                <w:rFonts w:ascii="宋体" w:hAnsi="宋体"/>
                <w:color w:val="000000" w:themeColor="text1"/>
                <w:szCs w:val="21"/>
                <w:u w:val="single"/>
              </w:rPr>
              <w:t xml:space="preserve">  </w:t>
            </w:r>
            <w:r>
              <w:rPr>
                <w:rFonts w:ascii="宋体" w:hAnsi="宋体" w:hint="eastAsia"/>
                <w:color w:val="000000" w:themeColor="text1"/>
                <w:szCs w:val="21"/>
              </w:rPr>
              <w:t>项</w:t>
            </w:r>
            <w:r>
              <w:rPr>
                <w:rFonts w:ascii="宋体" w:hAnsi="宋体"/>
                <w:color w:val="000000" w:themeColor="text1"/>
                <w:szCs w:val="21"/>
              </w:rPr>
              <w:t xml:space="preserve">   </w:t>
            </w:r>
          </w:p>
          <w:p w14:paraId="58F702FF" w14:textId="77777777" w:rsidR="00E22223" w:rsidRDefault="00000000">
            <w:pPr>
              <w:spacing w:line="360" w:lineRule="auto"/>
              <w:ind w:firstLineChars="150" w:firstLine="315"/>
              <w:rPr>
                <w:rFonts w:ascii="宋体" w:hAnsi="宋体"/>
                <w:color w:val="000000" w:themeColor="text1"/>
                <w:szCs w:val="21"/>
              </w:rPr>
            </w:pPr>
            <w:r>
              <w:rPr>
                <w:rFonts w:ascii="宋体" w:hAnsi="宋体" w:hint="eastAsia"/>
                <w:color w:val="000000" w:themeColor="text1"/>
                <w:szCs w:val="21"/>
              </w:rPr>
              <w:t>（</w:t>
            </w:r>
            <w:r>
              <w:rPr>
                <w:rFonts w:ascii="宋体" w:hAnsi="宋体"/>
                <w:color w:val="000000" w:themeColor="text1"/>
                <w:szCs w:val="21"/>
              </w:rPr>
              <w:t>7）</w:t>
            </w:r>
            <w:r>
              <w:rPr>
                <w:rFonts w:ascii="宋体" w:hAnsi="宋体" w:hint="eastAsia"/>
                <w:color w:val="000000" w:themeColor="text1"/>
                <w:szCs w:val="21"/>
              </w:rPr>
              <w:t>√创新类</w:t>
            </w:r>
            <w:r>
              <w:rPr>
                <w:rFonts w:ascii="宋体" w:hAnsi="宋体"/>
                <w:color w:val="000000" w:themeColor="text1"/>
                <w:szCs w:val="21"/>
              </w:rPr>
              <w:t xml:space="preserve">竞赛获奖  </w:t>
            </w:r>
          </w:p>
          <w:p w14:paraId="173AE60D" w14:textId="77777777" w:rsidR="00E22223" w:rsidRDefault="00000000">
            <w:pPr>
              <w:spacing w:line="360" w:lineRule="auto"/>
              <w:ind w:firstLineChars="150" w:firstLine="315"/>
              <w:rPr>
                <w:rFonts w:ascii="宋体" w:hAnsi="宋体"/>
                <w:color w:val="000000" w:themeColor="text1"/>
                <w:szCs w:val="21"/>
              </w:rPr>
            </w:pPr>
            <w:r>
              <w:rPr>
                <w:rFonts w:ascii="宋体" w:hAnsi="宋体" w:hint="eastAsia"/>
                <w:color w:val="000000" w:themeColor="text1"/>
                <w:szCs w:val="21"/>
              </w:rPr>
              <w:t>（</w:t>
            </w:r>
            <w:r>
              <w:rPr>
                <w:rFonts w:ascii="宋体" w:hAnsi="宋体"/>
                <w:color w:val="000000" w:themeColor="text1"/>
                <w:szCs w:val="21"/>
              </w:rPr>
              <w:t>8）</w:t>
            </w:r>
            <w:r>
              <w:rPr>
                <w:rFonts w:ascii="宋体" w:hAnsi="宋体" w:hint="eastAsia"/>
                <w:color w:val="000000" w:themeColor="text1"/>
                <w:szCs w:val="21"/>
              </w:rPr>
              <w:t>□创业</w:t>
            </w:r>
            <w:r>
              <w:rPr>
                <w:rFonts w:ascii="宋体" w:hAnsi="宋体"/>
                <w:color w:val="000000" w:themeColor="text1"/>
                <w:szCs w:val="21"/>
              </w:rPr>
              <w:t>类</w:t>
            </w:r>
            <w:r>
              <w:rPr>
                <w:rFonts w:ascii="宋体" w:hAnsi="宋体" w:hint="eastAsia"/>
                <w:color w:val="000000" w:themeColor="text1"/>
                <w:szCs w:val="21"/>
              </w:rPr>
              <w:t>竞赛获奖</w:t>
            </w:r>
          </w:p>
          <w:p w14:paraId="49984C66" w14:textId="77777777" w:rsidR="00E22223" w:rsidRDefault="00000000">
            <w:pPr>
              <w:ind w:firstLineChars="150" w:firstLine="315"/>
              <w:rPr>
                <w:rFonts w:ascii="仿宋_GB2312" w:eastAsia="仿宋_GB2312" w:hAnsi="宋体"/>
                <w:b/>
                <w:bCs/>
                <w:color w:val="000000" w:themeColor="text1"/>
                <w:sz w:val="28"/>
              </w:rPr>
            </w:pPr>
            <w:r>
              <w:rPr>
                <w:rFonts w:ascii="宋体" w:hAnsi="宋体" w:hint="eastAsia"/>
                <w:color w:val="000000" w:themeColor="text1"/>
                <w:szCs w:val="21"/>
              </w:rPr>
              <w:t>（</w:t>
            </w:r>
            <w:r>
              <w:rPr>
                <w:rFonts w:ascii="宋体" w:hAnsi="宋体"/>
                <w:color w:val="000000" w:themeColor="text1"/>
                <w:szCs w:val="21"/>
              </w:rPr>
              <w:t>9）</w:t>
            </w:r>
            <w:r>
              <w:rPr>
                <w:rFonts w:ascii="宋体" w:hAnsi="宋体" w:hint="eastAsia"/>
                <w:color w:val="000000" w:themeColor="text1"/>
                <w:szCs w:val="21"/>
              </w:rPr>
              <w:t>□其他</w:t>
            </w:r>
            <w:r>
              <w:rPr>
                <w:rFonts w:ascii="宋体" w:hAnsi="宋体"/>
                <w:color w:val="000000" w:themeColor="text1"/>
                <w:szCs w:val="21"/>
              </w:rPr>
              <w:t xml:space="preserve">      </w:t>
            </w:r>
            <w:r>
              <w:rPr>
                <w:rFonts w:ascii="宋体" w:hAnsi="宋体" w:hint="eastAsia"/>
                <w:color w:val="000000" w:themeColor="text1"/>
                <w:szCs w:val="21"/>
              </w:rPr>
              <w:t>名称：</w:t>
            </w:r>
            <w:r>
              <w:rPr>
                <w:rFonts w:ascii="宋体" w:hAnsi="宋体"/>
                <w:color w:val="000000" w:themeColor="text1"/>
                <w:szCs w:val="21"/>
                <w:u w:val="single"/>
                <w:vertAlign w:val="subscript"/>
              </w:rPr>
              <w:t xml:space="preserve">                                                           </w:t>
            </w:r>
          </w:p>
        </w:tc>
      </w:tr>
      <w:tr w:rsidR="00E22223" w14:paraId="0C4A2701" w14:textId="77777777">
        <w:trPr>
          <w:trHeight w:val="285"/>
        </w:trPr>
        <w:tc>
          <w:tcPr>
            <w:tcW w:w="1620" w:type="dxa"/>
            <w:tcBorders>
              <w:top w:val="nil"/>
              <w:left w:val="nil"/>
              <w:bottom w:val="nil"/>
              <w:right w:val="nil"/>
            </w:tcBorders>
            <w:tcMar>
              <w:top w:w="15" w:type="dxa"/>
              <w:left w:w="15" w:type="dxa"/>
              <w:bottom w:w="0" w:type="dxa"/>
              <w:right w:w="15" w:type="dxa"/>
            </w:tcMar>
            <w:vAlign w:val="center"/>
          </w:tcPr>
          <w:p w14:paraId="10C3CA9B" w14:textId="77777777" w:rsidR="00E22223" w:rsidRDefault="00E22223">
            <w:pPr>
              <w:rPr>
                <w:rFonts w:ascii="仿宋_GB2312" w:eastAsia="仿宋_GB2312" w:hAnsi="宋体"/>
                <w:b/>
                <w:bCs/>
                <w:color w:val="000000" w:themeColor="text1"/>
                <w:sz w:val="28"/>
              </w:rPr>
            </w:pPr>
          </w:p>
          <w:p w14:paraId="42404A17" w14:textId="77777777" w:rsidR="00E22223" w:rsidRDefault="00E22223">
            <w:pPr>
              <w:rPr>
                <w:rFonts w:ascii="仿宋_GB2312" w:eastAsia="仿宋_GB2312" w:hAnsi="宋体"/>
                <w:b/>
                <w:bCs/>
                <w:color w:val="000000" w:themeColor="text1"/>
                <w:sz w:val="28"/>
              </w:rPr>
            </w:pPr>
          </w:p>
        </w:tc>
        <w:tc>
          <w:tcPr>
            <w:tcW w:w="6675" w:type="dxa"/>
            <w:tcBorders>
              <w:top w:val="nil"/>
              <w:left w:val="nil"/>
              <w:bottom w:val="nil"/>
              <w:right w:val="nil"/>
            </w:tcBorders>
            <w:tcMar>
              <w:top w:w="15" w:type="dxa"/>
              <w:left w:w="15" w:type="dxa"/>
              <w:bottom w:w="0" w:type="dxa"/>
              <w:right w:w="15" w:type="dxa"/>
            </w:tcMar>
            <w:vAlign w:val="center"/>
          </w:tcPr>
          <w:p w14:paraId="37672D85" w14:textId="77777777" w:rsidR="00E22223" w:rsidRDefault="00E22223">
            <w:pPr>
              <w:rPr>
                <w:rFonts w:ascii="仿宋_GB2312" w:eastAsia="仿宋_GB2312" w:hAnsi="宋体"/>
                <w:b/>
                <w:bCs/>
                <w:color w:val="000000" w:themeColor="text1"/>
                <w:sz w:val="28"/>
              </w:rPr>
            </w:pPr>
          </w:p>
        </w:tc>
      </w:tr>
      <w:tr w:rsidR="00E22223" w14:paraId="54CF60C0" w14:textId="77777777">
        <w:trPr>
          <w:trHeight w:val="285"/>
        </w:trPr>
        <w:tc>
          <w:tcPr>
            <w:tcW w:w="8295" w:type="dxa"/>
            <w:gridSpan w:val="2"/>
            <w:tcBorders>
              <w:top w:val="nil"/>
              <w:left w:val="nil"/>
              <w:bottom w:val="nil"/>
              <w:right w:val="nil"/>
            </w:tcBorders>
            <w:tcMar>
              <w:top w:w="15" w:type="dxa"/>
              <w:left w:w="15" w:type="dxa"/>
              <w:bottom w:w="0" w:type="dxa"/>
              <w:right w:w="15" w:type="dxa"/>
            </w:tcMar>
            <w:vAlign w:val="center"/>
          </w:tcPr>
          <w:p w14:paraId="13C7031E" w14:textId="77777777" w:rsidR="00E22223" w:rsidRDefault="00000000">
            <w:pPr>
              <w:rPr>
                <w:rFonts w:ascii="仿宋_GB2312" w:eastAsia="仿宋_GB2312"/>
                <w:b/>
                <w:bCs/>
                <w:color w:val="000000" w:themeColor="text1"/>
                <w:sz w:val="28"/>
              </w:rPr>
            </w:pPr>
            <w:r>
              <w:rPr>
                <w:rFonts w:ascii="仿宋_GB2312" w:eastAsia="仿宋_GB2312" w:hint="eastAsia"/>
                <w:b/>
                <w:bCs/>
                <w:color w:val="000000" w:themeColor="text1"/>
                <w:sz w:val="28"/>
              </w:rPr>
              <w:t>七、项目经费概算</w:t>
            </w:r>
            <w:r>
              <w:rPr>
                <w:rFonts w:ascii="仿宋_GB2312" w:eastAsia="仿宋_GB2312" w:hint="eastAsia"/>
                <w:b/>
                <w:bCs/>
                <w:color w:val="000000" w:themeColor="text1"/>
                <w:sz w:val="24"/>
              </w:rPr>
              <w:t>（按申报项目目标任务需要进行预算</w:t>
            </w:r>
            <w:r>
              <w:rPr>
                <w:rFonts w:ascii="仿宋_GB2312" w:eastAsia="仿宋_GB2312"/>
                <w:b/>
                <w:bCs/>
                <w:color w:val="000000" w:themeColor="text1"/>
                <w:sz w:val="24"/>
              </w:rPr>
              <w:t>，经费执行情况将与</w:t>
            </w:r>
            <w:r>
              <w:rPr>
                <w:rFonts w:ascii="仿宋_GB2312" w:eastAsia="仿宋_GB2312" w:hint="eastAsia"/>
                <w:b/>
                <w:bCs/>
                <w:color w:val="000000" w:themeColor="text1"/>
                <w:sz w:val="24"/>
              </w:rPr>
              <w:t>结题</w:t>
            </w:r>
            <w:r>
              <w:rPr>
                <w:rFonts w:ascii="仿宋_GB2312" w:eastAsia="仿宋_GB2312"/>
                <w:b/>
                <w:bCs/>
                <w:color w:val="000000" w:themeColor="text1"/>
                <w:sz w:val="24"/>
              </w:rPr>
              <w:t>考核</w:t>
            </w:r>
            <w:r>
              <w:rPr>
                <w:rFonts w:ascii="仿宋_GB2312" w:eastAsia="仿宋_GB2312" w:hint="eastAsia"/>
                <w:b/>
                <w:bCs/>
                <w:color w:val="000000" w:themeColor="text1"/>
                <w:sz w:val="24"/>
              </w:rPr>
              <w:t>成绩挂钩）</w:t>
            </w:r>
          </w:p>
        </w:tc>
      </w:tr>
      <w:tr w:rsidR="00E22223" w14:paraId="0F8BF060" w14:textId="77777777">
        <w:trPr>
          <w:trHeight w:val="3935"/>
        </w:trPr>
        <w:tc>
          <w:tcPr>
            <w:tcW w:w="8295" w:type="dxa"/>
            <w:gridSpan w:val="2"/>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tcPr>
          <w:p w14:paraId="32BF9133" w14:textId="77777777" w:rsidR="00E22223" w:rsidRDefault="00000000">
            <w:pPr>
              <w:spacing w:line="276" w:lineRule="auto"/>
              <w:rPr>
                <w:rFonts w:ascii="仿宋_GB2312" w:eastAsia="仿宋_GB2312"/>
                <w:b/>
                <w:bCs/>
                <w:color w:val="000000" w:themeColor="text1"/>
                <w:sz w:val="24"/>
              </w:rPr>
            </w:pPr>
            <w:r>
              <w:rPr>
                <w:rFonts w:ascii="仿宋_GB2312" w:eastAsia="仿宋_GB2312" w:hint="eastAsia"/>
                <w:b/>
                <w:bCs/>
                <w:color w:val="000000" w:themeColor="text1"/>
                <w:sz w:val="24"/>
              </w:rPr>
              <w:t>1</w:t>
            </w:r>
            <w:r>
              <w:rPr>
                <w:rFonts w:ascii="仿宋_GB2312" w:eastAsia="仿宋_GB2312"/>
                <w:b/>
                <w:bCs/>
                <w:color w:val="000000" w:themeColor="text1"/>
                <w:sz w:val="24"/>
              </w:rPr>
              <w:t>.</w:t>
            </w:r>
            <w:r>
              <w:rPr>
                <w:rFonts w:ascii="仿宋_GB2312" w:eastAsia="仿宋_GB2312" w:hint="eastAsia"/>
                <w:b/>
                <w:bCs/>
                <w:color w:val="000000" w:themeColor="text1"/>
                <w:sz w:val="24"/>
              </w:rPr>
              <w:t>经费来源（单位：元）</w:t>
            </w:r>
          </w:p>
          <w:p w14:paraId="7A321722" w14:textId="2D84DFE0" w:rsidR="00E22223" w:rsidRDefault="00000000">
            <w:pPr>
              <w:spacing w:line="276" w:lineRule="auto"/>
              <w:rPr>
                <w:rFonts w:ascii="仿宋_GB2312" w:eastAsia="仿宋_GB2312" w:hAnsi="宋体"/>
                <w:bCs/>
                <w:color w:val="000000" w:themeColor="text1"/>
                <w:sz w:val="24"/>
                <w:u w:val="single"/>
              </w:rPr>
            </w:pPr>
            <w:r>
              <w:rPr>
                <w:rFonts w:ascii="仿宋_GB2312" w:eastAsia="仿宋_GB2312" w:hAnsi="宋体" w:hint="eastAsia"/>
                <w:bCs/>
                <w:color w:val="000000" w:themeColor="text1"/>
                <w:sz w:val="24"/>
              </w:rPr>
              <w:t>申请项目专项经费</w:t>
            </w:r>
            <w:r>
              <w:rPr>
                <w:rFonts w:ascii="仿宋_GB2312" w:eastAsia="仿宋_GB2312" w:hAnsi="宋体"/>
                <w:bCs/>
                <w:color w:val="000000" w:themeColor="text1"/>
                <w:sz w:val="24"/>
                <w:u w:val="single"/>
              </w:rPr>
              <w:t xml:space="preserve">   </w:t>
            </w:r>
            <w:r w:rsidR="002062AD">
              <w:rPr>
                <w:rFonts w:ascii="仿宋_GB2312" w:eastAsia="仿宋_GB2312" w:hAnsi="宋体" w:hint="eastAsia"/>
                <w:bCs/>
                <w:color w:val="000000" w:themeColor="text1"/>
                <w:sz w:val="24"/>
                <w:u w:val="single"/>
              </w:rPr>
              <w:t>6500</w:t>
            </w:r>
            <w:r>
              <w:rPr>
                <w:rFonts w:ascii="仿宋_GB2312" w:eastAsia="仿宋_GB2312" w:hAnsi="宋体"/>
                <w:bCs/>
                <w:color w:val="000000" w:themeColor="text1"/>
                <w:sz w:val="24"/>
                <w:u w:val="single"/>
              </w:rPr>
              <w:t xml:space="preserve">    </w:t>
            </w:r>
          </w:p>
          <w:p w14:paraId="6EAE69BC" w14:textId="77777777" w:rsidR="00E22223" w:rsidRDefault="00000000">
            <w:pPr>
              <w:spacing w:line="276" w:lineRule="auto"/>
              <w:rPr>
                <w:rFonts w:ascii="仿宋_GB2312" w:eastAsia="仿宋_GB2312" w:hAnsi="宋体"/>
                <w:b/>
                <w:bCs/>
                <w:color w:val="000000" w:themeColor="text1"/>
                <w:sz w:val="24"/>
              </w:rPr>
            </w:pPr>
            <w:r>
              <w:rPr>
                <w:rFonts w:ascii="仿宋_GB2312" w:eastAsia="仿宋_GB2312" w:hAnsi="宋体" w:hint="eastAsia"/>
                <w:b/>
                <w:bCs/>
                <w:color w:val="000000" w:themeColor="text1"/>
                <w:sz w:val="24"/>
              </w:rPr>
              <w:t>2</w:t>
            </w:r>
            <w:r>
              <w:rPr>
                <w:rFonts w:ascii="仿宋_GB2312" w:eastAsia="仿宋_GB2312" w:hAnsi="宋体"/>
                <w:b/>
                <w:bCs/>
                <w:color w:val="000000" w:themeColor="text1"/>
                <w:sz w:val="24"/>
              </w:rPr>
              <w:t>.</w:t>
            </w:r>
            <w:r>
              <w:rPr>
                <w:rFonts w:ascii="仿宋_GB2312" w:eastAsia="仿宋_GB2312" w:hAnsi="宋体" w:hint="eastAsia"/>
                <w:b/>
                <w:bCs/>
                <w:color w:val="000000" w:themeColor="text1"/>
                <w:sz w:val="24"/>
              </w:rPr>
              <w:t>经费支出（单位：元）</w:t>
            </w:r>
          </w:p>
          <w:p w14:paraId="341B5133" w14:textId="0829B538" w:rsidR="00E22223" w:rsidRDefault="00000000">
            <w:pPr>
              <w:spacing w:line="276" w:lineRule="auto"/>
              <w:rPr>
                <w:rFonts w:ascii="仿宋_GB2312" w:eastAsia="仿宋_GB2312" w:hAnsi="宋体"/>
                <w:bCs/>
                <w:color w:val="000000" w:themeColor="text1"/>
                <w:sz w:val="24"/>
              </w:rPr>
            </w:pPr>
            <w:r>
              <w:rPr>
                <w:rFonts w:ascii="仿宋_GB2312" w:eastAsia="仿宋_GB2312" w:hAnsi="宋体" w:hint="eastAsia"/>
                <w:bCs/>
                <w:color w:val="000000" w:themeColor="text1"/>
                <w:sz w:val="24"/>
              </w:rPr>
              <w:t>（1）仪器设备费</w:t>
            </w:r>
            <w:r>
              <w:rPr>
                <w:rFonts w:ascii="仿宋_GB2312" w:eastAsia="仿宋_GB2312" w:hAnsi="宋体"/>
                <w:bCs/>
                <w:color w:val="000000" w:themeColor="text1"/>
                <w:sz w:val="24"/>
                <w:u w:val="single"/>
              </w:rPr>
              <w:t xml:space="preserve">  </w:t>
            </w:r>
            <w:r w:rsidR="002062AD">
              <w:rPr>
                <w:rFonts w:ascii="仿宋_GB2312" w:eastAsia="仿宋_GB2312" w:hAnsi="宋体" w:hint="eastAsia"/>
                <w:bCs/>
                <w:color w:val="000000" w:themeColor="text1"/>
                <w:sz w:val="24"/>
                <w:u w:val="single"/>
              </w:rPr>
              <w:t>3000</w:t>
            </w:r>
            <w:r>
              <w:rPr>
                <w:rFonts w:ascii="仿宋_GB2312" w:eastAsia="仿宋_GB2312" w:hAnsi="宋体"/>
                <w:bCs/>
                <w:color w:val="000000" w:themeColor="text1"/>
                <w:sz w:val="24"/>
                <w:u w:val="single"/>
              </w:rPr>
              <w:t xml:space="preserve">     </w:t>
            </w:r>
            <w:r>
              <w:rPr>
                <w:rFonts w:ascii="仿宋_GB2312" w:eastAsia="仿宋_GB2312" w:hAnsi="宋体"/>
                <w:bCs/>
                <w:color w:val="000000" w:themeColor="text1"/>
                <w:sz w:val="24"/>
              </w:rPr>
              <w:t xml:space="preserve"> </w:t>
            </w:r>
          </w:p>
          <w:p w14:paraId="1706EDC4" w14:textId="662C7ACA" w:rsidR="00E22223" w:rsidRDefault="00000000">
            <w:pPr>
              <w:spacing w:line="276" w:lineRule="auto"/>
              <w:rPr>
                <w:rFonts w:ascii="仿宋_GB2312" w:eastAsia="仿宋_GB2312" w:hAnsi="宋体"/>
                <w:bCs/>
                <w:color w:val="000000" w:themeColor="text1"/>
                <w:sz w:val="24"/>
              </w:rPr>
            </w:pPr>
            <w:r>
              <w:rPr>
                <w:rFonts w:ascii="仿宋_GB2312" w:eastAsia="仿宋_GB2312" w:hAnsi="宋体" w:hint="eastAsia"/>
                <w:bCs/>
                <w:color w:val="000000" w:themeColor="text1"/>
                <w:sz w:val="24"/>
              </w:rPr>
              <w:t>（2）耗材费</w:t>
            </w:r>
            <w:r>
              <w:rPr>
                <w:rFonts w:ascii="仿宋_GB2312" w:eastAsia="仿宋_GB2312" w:hAnsi="宋体" w:hint="eastAsia"/>
                <w:bCs/>
                <w:color w:val="000000" w:themeColor="text1"/>
                <w:sz w:val="24"/>
                <w:u w:val="single"/>
              </w:rPr>
              <w:t xml:space="preserve"> </w:t>
            </w:r>
            <w:r>
              <w:rPr>
                <w:rFonts w:ascii="仿宋_GB2312" w:eastAsia="仿宋_GB2312" w:hAnsi="宋体"/>
                <w:bCs/>
                <w:color w:val="000000" w:themeColor="text1"/>
                <w:sz w:val="24"/>
                <w:u w:val="single"/>
              </w:rPr>
              <w:t xml:space="preserve"> </w:t>
            </w:r>
            <w:r w:rsidR="002062AD">
              <w:rPr>
                <w:rFonts w:ascii="仿宋_GB2312" w:eastAsia="仿宋_GB2312" w:hAnsi="宋体" w:hint="eastAsia"/>
                <w:bCs/>
                <w:color w:val="000000" w:themeColor="text1"/>
                <w:sz w:val="24"/>
                <w:u w:val="single"/>
              </w:rPr>
              <w:t>1500</w:t>
            </w:r>
            <w:r>
              <w:rPr>
                <w:rFonts w:ascii="仿宋_GB2312" w:eastAsia="仿宋_GB2312" w:hAnsi="宋体"/>
                <w:bCs/>
                <w:color w:val="000000" w:themeColor="text1"/>
                <w:sz w:val="24"/>
                <w:u w:val="single"/>
              </w:rPr>
              <w:t xml:space="preserve">      </w:t>
            </w:r>
            <w:r>
              <w:rPr>
                <w:rFonts w:ascii="仿宋_GB2312" w:eastAsia="仿宋_GB2312" w:hAnsi="宋体"/>
                <w:bCs/>
                <w:color w:val="000000" w:themeColor="text1"/>
                <w:sz w:val="24"/>
              </w:rPr>
              <w:t xml:space="preserve">  </w:t>
            </w:r>
          </w:p>
          <w:p w14:paraId="7FDC42AE" w14:textId="7B42F43E" w:rsidR="00E22223" w:rsidRDefault="00000000">
            <w:pPr>
              <w:spacing w:line="276" w:lineRule="auto"/>
              <w:rPr>
                <w:rFonts w:ascii="仿宋_GB2312" w:eastAsia="仿宋_GB2312" w:hAnsi="宋体"/>
                <w:bCs/>
                <w:color w:val="000000" w:themeColor="text1"/>
                <w:sz w:val="24"/>
              </w:rPr>
            </w:pPr>
            <w:r>
              <w:rPr>
                <w:rFonts w:ascii="仿宋_GB2312" w:eastAsia="仿宋_GB2312" w:hAnsi="宋体" w:hint="eastAsia"/>
                <w:bCs/>
                <w:color w:val="000000" w:themeColor="text1"/>
                <w:sz w:val="24"/>
              </w:rPr>
              <w:t>（3）测试加工费</w:t>
            </w:r>
            <w:r>
              <w:rPr>
                <w:rFonts w:ascii="仿宋_GB2312" w:eastAsia="仿宋_GB2312" w:hAnsi="宋体" w:hint="eastAsia"/>
                <w:bCs/>
                <w:color w:val="000000" w:themeColor="text1"/>
                <w:sz w:val="24"/>
                <w:u w:val="single"/>
              </w:rPr>
              <w:t xml:space="preserve"> </w:t>
            </w:r>
            <w:r>
              <w:rPr>
                <w:rFonts w:ascii="仿宋_GB2312" w:eastAsia="仿宋_GB2312" w:hAnsi="宋体"/>
                <w:bCs/>
                <w:color w:val="000000" w:themeColor="text1"/>
                <w:sz w:val="24"/>
                <w:u w:val="single"/>
              </w:rPr>
              <w:t xml:space="preserve">  </w:t>
            </w:r>
            <w:r w:rsidR="002062AD">
              <w:rPr>
                <w:rFonts w:ascii="仿宋_GB2312" w:eastAsia="仿宋_GB2312" w:hAnsi="宋体" w:hint="eastAsia"/>
                <w:bCs/>
                <w:color w:val="000000" w:themeColor="text1"/>
                <w:sz w:val="24"/>
                <w:u w:val="single"/>
              </w:rPr>
              <w:t>800</w:t>
            </w:r>
            <w:r>
              <w:rPr>
                <w:rFonts w:ascii="仿宋_GB2312" w:eastAsia="仿宋_GB2312" w:hAnsi="宋体"/>
                <w:bCs/>
                <w:color w:val="000000" w:themeColor="text1"/>
                <w:sz w:val="24"/>
                <w:u w:val="single"/>
              </w:rPr>
              <w:t xml:space="preserve">      </w:t>
            </w:r>
            <w:r>
              <w:rPr>
                <w:rFonts w:ascii="仿宋_GB2312" w:eastAsia="仿宋_GB2312" w:hAnsi="宋体"/>
                <w:bCs/>
                <w:color w:val="000000" w:themeColor="text1"/>
                <w:sz w:val="24"/>
              </w:rPr>
              <w:t xml:space="preserve"> </w:t>
            </w:r>
          </w:p>
          <w:p w14:paraId="3FF6FC2E" w14:textId="17A9DC96" w:rsidR="00E22223" w:rsidRDefault="00000000">
            <w:pPr>
              <w:spacing w:line="276" w:lineRule="auto"/>
              <w:rPr>
                <w:rFonts w:ascii="仿宋_GB2312" w:eastAsia="仿宋_GB2312" w:hAnsi="宋体"/>
                <w:bCs/>
                <w:color w:val="000000" w:themeColor="text1"/>
                <w:sz w:val="24"/>
              </w:rPr>
            </w:pPr>
            <w:r>
              <w:rPr>
                <w:rFonts w:ascii="仿宋_GB2312" w:eastAsia="仿宋_GB2312" w:hAnsi="宋体" w:hint="eastAsia"/>
                <w:bCs/>
                <w:color w:val="000000" w:themeColor="text1"/>
                <w:sz w:val="24"/>
              </w:rPr>
              <w:t>（4）国内会务及差旅费</w:t>
            </w:r>
            <w:r>
              <w:rPr>
                <w:rFonts w:ascii="仿宋_GB2312" w:eastAsia="仿宋_GB2312" w:hAnsi="宋体" w:hint="eastAsia"/>
                <w:bCs/>
                <w:color w:val="000000" w:themeColor="text1"/>
                <w:sz w:val="24"/>
                <w:u w:val="single"/>
              </w:rPr>
              <w:t xml:space="preserve"> </w:t>
            </w:r>
            <w:r>
              <w:rPr>
                <w:rFonts w:ascii="仿宋_GB2312" w:eastAsia="仿宋_GB2312" w:hAnsi="宋体"/>
                <w:bCs/>
                <w:color w:val="000000" w:themeColor="text1"/>
                <w:sz w:val="24"/>
                <w:u w:val="single"/>
              </w:rPr>
              <w:t xml:space="preserve">  </w:t>
            </w:r>
            <w:r w:rsidR="002062AD">
              <w:rPr>
                <w:rFonts w:ascii="仿宋_GB2312" w:eastAsia="仿宋_GB2312" w:hAnsi="宋体" w:hint="eastAsia"/>
                <w:bCs/>
                <w:color w:val="000000" w:themeColor="text1"/>
                <w:sz w:val="24"/>
                <w:u w:val="single"/>
              </w:rPr>
              <w:t>0</w:t>
            </w:r>
            <w:r>
              <w:rPr>
                <w:rFonts w:ascii="仿宋_GB2312" w:eastAsia="仿宋_GB2312" w:hAnsi="宋体"/>
                <w:bCs/>
                <w:color w:val="000000" w:themeColor="text1"/>
                <w:sz w:val="24"/>
                <w:u w:val="single"/>
              </w:rPr>
              <w:t xml:space="preserve">     </w:t>
            </w:r>
            <w:r>
              <w:rPr>
                <w:rFonts w:ascii="仿宋_GB2312" w:eastAsia="仿宋_GB2312" w:hAnsi="宋体"/>
                <w:bCs/>
                <w:color w:val="000000" w:themeColor="text1"/>
                <w:sz w:val="24"/>
              </w:rPr>
              <w:t xml:space="preserve"> </w:t>
            </w:r>
          </w:p>
          <w:p w14:paraId="01354B01" w14:textId="6A8016D2" w:rsidR="00E22223" w:rsidRDefault="00000000">
            <w:pPr>
              <w:spacing w:line="276" w:lineRule="auto"/>
              <w:rPr>
                <w:rFonts w:ascii="仿宋_GB2312" w:eastAsia="仿宋_GB2312" w:hAnsi="宋体"/>
                <w:bCs/>
                <w:color w:val="000000" w:themeColor="text1"/>
                <w:sz w:val="24"/>
              </w:rPr>
            </w:pPr>
            <w:r>
              <w:rPr>
                <w:rFonts w:ascii="仿宋_GB2312" w:eastAsia="仿宋_GB2312" w:hAnsi="宋体" w:hint="eastAsia"/>
                <w:bCs/>
                <w:color w:val="000000" w:themeColor="text1"/>
                <w:sz w:val="24"/>
              </w:rPr>
              <w:t>（5）国外会务及差旅费</w:t>
            </w:r>
            <w:r>
              <w:rPr>
                <w:rFonts w:ascii="仿宋_GB2312" w:eastAsia="仿宋_GB2312" w:hAnsi="宋体" w:hint="eastAsia"/>
                <w:bCs/>
                <w:color w:val="000000" w:themeColor="text1"/>
                <w:sz w:val="24"/>
                <w:u w:val="single"/>
              </w:rPr>
              <w:t xml:space="preserve"> </w:t>
            </w:r>
            <w:r>
              <w:rPr>
                <w:rFonts w:ascii="仿宋_GB2312" w:eastAsia="仿宋_GB2312" w:hAnsi="宋体"/>
                <w:bCs/>
                <w:color w:val="000000" w:themeColor="text1"/>
                <w:sz w:val="24"/>
                <w:u w:val="single"/>
              </w:rPr>
              <w:t xml:space="preserve">  </w:t>
            </w:r>
            <w:r w:rsidR="002062AD">
              <w:rPr>
                <w:rFonts w:ascii="仿宋_GB2312" w:eastAsia="仿宋_GB2312" w:hAnsi="宋体" w:hint="eastAsia"/>
                <w:bCs/>
                <w:color w:val="000000" w:themeColor="text1"/>
                <w:sz w:val="24"/>
                <w:u w:val="single"/>
              </w:rPr>
              <w:t>0</w:t>
            </w:r>
            <w:r>
              <w:rPr>
                <w:rFonts w:ascii="仿宋_GB2312" w:eastAsia="仿宋_GB2312" w:hAnsi="宋体"/>
                <w:bCs/>
                <w:color w:val="000000" w:themeColor="text1"/>
                <w:sz w:val="24"/>
                <w:u w:val="single"/>
              </w:rPr>
              <w:t xml:space="preserve">     </w:t>
            </w:r>
            <w:r>
              <w:rPr>
                <w:rFonts w:ascii="仿宋_GB2312" w:eastAsia="仿宋_GB2312" w:hAnsi="宋体"/>
                <w:bCs/>
                <w:color w:val="000000" w:themeColor="text1"/>
                <w:sz w:val="24"/>
              </w:rPr>
              <w:t xml:space="preserve"> </w:t>
            </w:r>
          </w:p>
          <w:p w14:paraId="748B141E" w14:textId="13E26ADA" w:rsidR="00E22223" w:rsidRDefault="00000000">
            <w:pPr>
              <w:spacing w:line="276" w:lineRule="auto"/>
              <w:rPr>
                <w:rFonts w:ascii="仿宋_GB2312" w:eastAsia="仿宋_GB2312" w:hAnsi="宋体"/>
                <w:bCs/>
                <w:color w:val="000000" w:themeColor="text1"/>
                <w:sz w:val="24"/>
              </w:rPr>
            </w:pPr>
            <w:r>
              <w:rPr>
                <w:rFonts w:ascii="仿宋_GB2312" w:eastAsia="仿宋_GB2312" w:hAnsi="宋体" w:hint="eastAsia"/>
                <w:bCs/>
                <w:color w:val="000000" w:themeColor="text1"/>
                <w:sz w:val="24"/>
              </w:rPr>
              <w:t>（</w:t>
            </w:r>
            <w:r>
              <w:rPr>
                <w:rFonts w:ascii="仿宋_GB2312" w:eastAsia="仿宋_GB2312" w:hAnsi="宋体"/>
                <w:bCs/>
                <w:color w:val="000000" w:themeColor="text1"/>
                <w:sz w:val="24"/>
              </w:rPr>
              <w:t>6</w:t>
            </w:r>
            <w:r>
              <w:rPr>
                <w:rFonts w:ascii="仿宋_GB2312" w:eastAsia="仿宋_GB2312" w:hAnsi="宋体" w:hint="eastAsia"/>
                <w:bCs/>
                <w:color w:val="000000" w:themeColor="text1"/>
                <w:sz w:val="24"/>
              </w:rPr>
              <w:t>）文献/知识产权事务费</w:t>
            </w:r>
            <w:r>
              <w:rPr>
                <w:rFonts w:ascii="仿宋_GB2312" w:eastAsia="仿宋_GB2312" w:hAnsi="宋体" w:hint="eastAsia"/>
                <w:bCs/>
                <w:color w:val="000000" w:themeColor="text1"/>
                <w:sz w:val="24"/>
                <w:u w:val="single"/>
              </w:rPr>
              <w:t xml:space="preserve"> </w:t>
            </w:r>
            <w:r>
              <w:rPr>
                <w:rFonts w:ascii="仿宋_GB2312" w:eastAsia="仿宋_GB2312" w:hAnsi="宋体"/>
                <w:bCs/>
                <w:color w:val="000000" w:themeColor="text1"/>
                <w:sz w:val="24"/>
                <w:u w:val="single"/>
              </w:rPr>
              <w:t xml:space="preserve">  </w:t>
            </w:r>
            <w:r w:rsidR="002062AD">
              <w:rPr>
                <w:rFonts w:ascii="仿宋_GB2312" w:eastAsia="仿宋_GB2312" w:hAnsi="宋体" w:hint="eastAsia"/>
                <w:bCs/>
                <w:color w:val="000000" w:themeColor="text1"/>
                <w:sz w:val="24"/>
                <w:u w:val="single"/>
              </w:rPr>
              <w:t>500</w:t>
            </w:r>
            <w:r>
              <w:rPr>
                <w:rFonts w:ascii="仿宋_GB2312" w:eastAsia="仿宋_GB2312" w:hAnsi="宋体"/>
                <w:bCs/>
                <w:color w:val="000000" w:themeColor="text1"/>
                <w:sz w:val="24"/>
                <w:u w:val="single"/>
              </w:rPr>
              <w:t xml:space="preserve">      </w:t>
            </w:r>
          </w:p>
          <w:p w14:paraId="168FA9EE" w14:textId="3259FF39" w:rsidR="00E22223" w:rsidRDefault="00000000">
            <w:pPr>
              <w:spacing w:line="276" w:lineRule="auto"/>
              <w:rPr>
                <w:rFonts w:ascii="仿宋_GB2312" w:eastAsia="仿宋_GB2312" w:hAnsi="宋体"/>
                <w:bCs/>
                <w:color w:val="000000" w:themeColor="text1"/>
                <w:sz w:val="24"/>
              </w:rPr>
            </w:pPr>
            <w:r>
              <w:rPr>
                <w:rFonts w:ascii="仿宋_GB2312" w:eastAsia="仿宋_GB2312" w:hAnsi="宋体" w:hint="eastAsia"/>
                <w:bCs/>
                <w:color w:val="000000" w:themeColor="text1"/>
                <w:sz w:val="24"/>
              </w:rPr>
              <w:t>（</w:t>
            </w:r>
            <w:r>
              <w:rPr>
                <w:rFonts w:ascii="仿宋_GB2312" w:eastAsia="仿宋_GB2312" w:hAnsi="宋体"/>
                <w:bCs/>
                <w:color w:val="000000" w:themeColor="text1"/>
                <w:sz w:val="24"/>
              </w:rPr>
              <w:t>7</w:t>
            </w:r>
            <w:r>
              <w:rPr>
                <w:rFonts w:ascii="仿宋_GB2312" w:eastAsia="仿宋_GB2312" w:hAnsi="宋体" w:hint="eastAsia"/>
                <w:bCs/>
                <w:color w:val="000000" w:themeColor="text1"/>
                <w:sz w:val="24"/>
              </w:rPr>
              <w:t>）办公费（含</w:t>
            </w:r>
            <w:r>
              <w:rPr>
                <w:rFonts w:ascii="仿宋_GB2312" w:eastAsia="仿宋_GB2312" w:hAnsi="宋体"/>
                <w:bCs/>
                <w:color w:val="000000" w:themeColor="text1"/>
                <w:sz w:val="24"/>
              </w:rPr>
              <w:t>文印、办公用品等</w:t>
            </w:r>
            <w:r>
              <w:rPr>
                <w:rFonts w:ascii="仿宋_GB2312" w:eastAsia="仿宋_GB2312" w:hAnsi="宋体" w:hint="eastAsia"/>
                <w:bCs/>
                <w:color w:val="000000" w:themeColor="text1"/>
                <w:sz w:val="24"/>
              </w:rPr>
              <w:t>）</w:t>
            </w:r>
            <w:r>
              <w:rPr>
                <w:rFonts w:ascii="仿宋_GB2312" w:eastAsia="仿宋_GB2312" w:hAnsi="宋体"/>
                <w:bCs/>
                <w:color w:val="000000" w:themeColor="text1"/>
                <w:sz w:val="24"/>
                <w:u w:val="single"/>
              </w:rPr>
              <w:t xml:space="preserve">    </w:t>
            </w:r>
            <w:r w:rsidR="002062AD">
              <w:rPr>
                <w:rFonts w:ascii="仿宋_GB2312" w:eastAsia="仿宋_GB2312" w:hAnsi="宋体" w:hint="eastAsia"/>
                <w:bCs/>
                <w:color w:val="000000" w:themeColor="text1"/>
                <w:sz w:val="24"/>
                <w:u w:val="single"/>
              </w:rPr>
              <w:t>200</w:t>
            </w:r>
            <w:r>
              <w:rPr>
                <w:rFonts w:ascii="仿宋_GB2312" w:eastAsia="仿宋_GB2312" w:hAnsi="宋体"/>
                <w:bCs/>
                <w:color w:val="000000" w:themeColor="text1"/>
                <w:sz w:val="24"/>
                <w:u w:val="single"/>
              </w:rPr>
              <w:t xml:space="preserve">    </w:t>
            </w:r>
            <w:r>
              <w:rPr>
                <w:rFonts w:ascii="仿宋_GB2312" w:eastAsia="仿宋_GB2312" w:hAnsi="宋体"/>
                <w:bCs/>
                <w:color w:val="000000" w:themeColor="text1"/>
                <w:sz w:val="24"/>
              </w:rPr>
              <w:t xml:space="preserve">  </w:t>
            </w:r>
          </w:p>
          <w:p w14:paraId="2076C530" w14:textId="423235E8" w:rsidR="00E22223" w:rsidRDefault="00000000">
            <w:pPr>
              <w:spacing w:line="276" w:lineRule="auto"/>
              <w:rPr>
                <w:rFonts w:ascii="仿宋_GB2312" w:eastAsia="仿宋_GB2312" w:hAnsi="宋体"/>
                <w:bCs/>
                <w:color w:val="000000" w:themeColor="text1"/>
                <w:sz w:val="24"/>
              </w:rPr>
            </w:pPr>
            <w:r>
              <w:rPr>
                <w:rFonts w:ascii="仿宋_GB2312" w:eastAsia="仿宋_GB2312" w:hAnsi="宋体" w:hint="eastAsia"/>
                <w:bCs/>
                <w:color w:val="000000" w:themeColor="text1"/>
                <w:sz w:val="24"/>
              </w:rPr>
              <w:t>（</w:t>
            </w:r>
            <w:r>
              <w:rPr>
                <w:rFonts w:ascii="仿宋_GB2312" w:eastAsia="仿宋_GB2312" w:hAnsi="宋体"/>
                <w:bCs/>
                <w:color w:val="000000" w:themeColor="text1"/>
                <w:sz w:val="24"/>
              </w:rPr>
              <w:t>8</w:t>
            </w:r>
            <w:r>
              <w:rPr>
                <w:rFonts w:ascii="仿宋_GB2312" w:eastAsia="仿宋_GB2312" w:hAnsi="宋体" w:hint="eastAsia"/>
                <w:bCs/>
                <w:color w:val="000000" w:themeColor="text1"/>
                <w:sz w:val="24"/>
              </w:rPr>
              <w:t>）其他费用</w:t>
            </w:r>
            <w:r>
              <w:rPr>
                <w:rFonts w:ascii="仿宋_GB2312" w:eastAsia="仿宋_GB2312" w:hAnsi="宋体" w:hint="eastAsia"/>
                <w:bCs/>
                <w:color w:val="000000" w:themeColor="text1"/>
                <w:sz w:val="24"/>
                <w:u w:val="single"/>
              </w:rPr>
              <w:t xml:space="preserve"> </w:t>
            </w:r>
            <w:r>
              <w:rPr>
                <w:rFonts w:ascii="仿宋_GB2312" w:eastAsia="仿宋_GB2312" w:hAnsi="宋体"/>
                <w:bCs/>
                <w:color w:val="000000" w:themeColor="text1"/>
                <w:sz w:val="24"/>
                <w:u w:val="single"/>
              </w:rPr>
              <w:t xml:space="preserve">  </w:t>
            </w:r>
            <w:r w:rsidR="002062AD">
              <w:rPr>
                <w:rFonts w:ascii="仿宋_GB2312" w:eastAsia="仿宋_GB2312" w:hAnsi="宋体" w:hint="eastAsia"/>
                <w:bCs/>
                <w:color w:val="000000" w:themeColor="text1"/>
                <w:sz w:val="24"/>
                <w:u w:val="single"/>
              </w:rPr>
              <w:t>500</w:t>
            </w:r>
            <w:r>
              <w:rPr>
                <w:rFonts w:ascii="仿宋_GB2312" w:eastAsia="仿宋_GB2312" w:hAnsi="宋体"/>
                <w:bCs/>
                <w:color w:val="000000" w:themeColor="text1"/>
                <w:sz w:val="24"/>
                <w:u w:val="single"/>
              </w:rPr>
              <w:t xml:space="preserve">      </w:t>
            </w:r>
            <w:r>
              <w:rPr>
                <w:rFonts w:ascii="仿宋_GB2312" w:eastAsia="仿宋_GB2312" w:hAnsi="宋体"/>
                <w:bCs/>
                <w:color w:val="000000" w:themeColor="text1"/>
                <w:sz w:val="24"/>
              </w:rPr>
              <w:t xml:space="preserve">  </w:t>
            </w:r>
          </w:p>
          <w:p w14:paraId="07777EFC" w14:textId="4859AFA3" w:rsidR="00E22223" w:rsidRDefault="00000000">
            <w:pPr>
              <w:spacing w:line="276" w:lineRule="auto"/>
              <w:rPr>
                <w:rFonts w:ascii="仿宋_GB2312" w:eastAsia="仿宋_GB2312" w:hAnsi="宋体"/>
                <w:b/>
                <w:bCs/>
                <w:color w:val="000000" w:themeColor="text1"/>
                <w:sz w:val="24"/>
              </w:rPr>
            </w:pPr>
            <w:r>
              <w:rPr>
                <w:rFonts w:ascii="仿宋_GB2312" w:eastAsia="仿宋_GB2312" w:hAnsi="宋体" w:hint="eastAsia"/>
                <w:b/>
                <w:bCs/>
                <w:color w:val="000000" w:themeColor="text1"/>
                <w:sz w:val="24"/>
              </w:rPr>
              <w:t xml:space="preserve">合计 </w:t>
            </w:r>
            <w:r>
              <w:rPr>
                <w:rFonts w:ascii="仿宋_GB2312" w:eastAsia="仿宋_GB2312" w:hAnsi="宋体"/>
                <w:b/>
                <w:bCs/>
                <w:color w:val="000000" w:themeColor="text1"/>
                <w:sz w:val="24"/>
              </w:rPr>
              <w:t xml:space="preserve"> </w:t>
            </w:r>
            <w:r>
              <w:rPr>
                <w:rFonts w:ascii="仿宋_GB2312" w:eastAsia="仿宋_GB2312" w:hAnsi="宋体" w:hint="eastAsia"/>
                <w:b/>
                <w:bCs/>
                <w:color w:val="000000" w:themeColor="text1"/>
                <w:sz w:val="24"/>
                <w:u w:val="single"/>
              </w:rPr>
              <w:t xml:space="preserve"> </w:t>
            </w:r>
            <w:r>
              <w:rPr>
                <w:rFonts w:ascii="仿宋_GB2312" w:eastAsia="仿宋_GB2312" w:hAnsi="宋体"/>
                <w:b/>
                <w:bCs/>
                <w:color w:val="000000" w:themeColor="text1"/>
                <w:sz w:val="24"/>
                <w:u w:val="single"/>
              </w:rPr>
              <w:t xml:space="preserve">  </w:t>
            </w:r>
            <w:r w:rsidR="002062AD">
              <w:rPr>
                <w:rFonts w:ascii="仿宋_GB2312" w:eastAsia="仿宋_GB2312" w:hAnsi="宋体" w:hint="eastAsia"/>
                <w:b/>
                <w:bCs/>
                <w:color w:val="000000" w:themeColor="text1"/>
                <w:sz w:val="24"/>
                <w:u w:val="single"/>
              </w:rPr>
              <w:t>6500</w:t>
            </w:r>
            <w:r>
              <w:rPr>
                <w:rFonts w:ascii="仿宋_GB2312" w:eastAsia="仿宋_GB2312" w:hAnsi="宋体"/>
                <w:b/>
                <w:bCs/>
                <w:color w:val="000000" w:themeColor="text1"/>
                <w:sz w:val="24"/>
                <w:u w:val="single"/>
              </w:rPr>
              <w:t xml:space="preserve">      </w:t>
            </w:r>
            <w:r>
              <w:rPr>
                <w:rFonts w:ascii="仿宋_GB2312" w:eastAsia="仿宋_GB2312" w:hAnsi="宋体"/>
                <w:b/>
                <w:bCs/>
                <w:color w:val="000000" w:themeColor="text1"/>
                <w:sz w:val="24"/>
              </w:rPr>
              <w:t xml:space="preserve">  </w:t>
            </w:r>
          </w:p>
          <w:p w14:paraId="0E4F3409" w14:textId="77777777" w:rsidR="00E22223" w:rsidRDefault="00E22223">
            <w:pPr>
              <w:spacing w:line="276" w:lineRule="auto"/>
              <w:rPr>
                <w:rFonts w:ascii="仿宋_GB2312" w:eastAsia="仿宋_GB2312" w:hAnsi="宋体"/>
                <w:bCs/>
                <w:color w:val="000000" w:themeColor="text1"/>
                <w:sz w:val="24"/>
              </w:rPr>
            </w:pPr>
          </w:p>
        </w:tc>
      </w:tr>
    </w:tbl>
    <w:p w14:paraId="069141B6" w14:textId="77777777" w:rsidR="00E22223" w:rsidRDefault="00000000">
      <w:pPr>
        <w:jc w:val="left"/>
        <w:rPr>
          <w:color w:val="000000" w:themeColor="text1"/>
        </w:rPr>
      </w:pPr>
      <w:r>
        <w:rPr>
          <w:color w:val="000000" w:themeColor="text1"/>
        </w:rPr>
        <w:br w:type="page"/>
      </w:r>
    </w:p>
    <w:tbl>
      <w:tblPr>
        <w:tblW w:w="8295" w:type="dxa"/>
        <w:tblCellMar>
          <w:left w:w="0" w:type="dxa"/>
          <w:right w:w="0" w:type="dxa"/>
        </w:tblCellMar>
        <w:tblLook w:val="04A0" w:firstRow="1" w:lastRow="0" w:firstColumn="1" w:lastColumn="0" w:noHBand="0" w:noVBand="1"/>
      </w:tblPr>
      <w:tblGrid>
        <w:gridCol w:w="8295"/>
      </w:tblGrid>
      <w:tr w:rsidR="00E22223" w14:paraId="48ED9651" w14:textId="77777777">
        <w:trPr>
          <w:trHeight w:val="285"/>
        </w:trPr>
        <w:tc>
          <w:tcPr>
            <w:tcW w:w="8295" w:type="dxa"/>
            <w:tcBorders>
              <w:top w:val="nil"/>
              <w:left w:val="nil"/>
              <w:bottom w:val="single" w:sz="4" w:space="0" w:color="auto"/>
              <w:right w:val="nil"/>
            </w:tcBorders>
            <w:tcMar>
              <w:top w:w="15" w:type="dxa"/>
              <w:left w:w="15" w:type="dxa"/>
              <w:bottom w:w="0" w:type="dxa"/>
              <w:right w:w="15" w:type="dxa"/>
            </w:tcMar>
            <w:vAlign w:val="center"/>
          </w:tcPr>
          <w:p w14:paraId="0D928464" w14:textId="77777777" w:rsidR="00E22223" w:rsidRDefault="00000000">
            <w:pPr>
              <w:rPr>
                <w:rFonts w:ascii="仿宋_GB2312" w:eastAsia="仿宋_GB2312" w:hAnsi="宋体"/>
                <w:b/>
                <w:bCs/>
                <w:color w:val="000000" w:themeColor="text1"/>
                <w:sz w:val="28"/>
              </w:rPr>
            </w:pPr>
            <w:r>
              <w:rPr>
                <w:rFonts w:ascii="仿宋_GB2312" w:eastAsia="仿宋_GB2312" w:hint="eastAsia"/>
                <w:b/>
                <w:bCs/>
                <w:color w:val="000000" w:themeColor="text1"/>
                <w:sz w:val="28"/>
              </w:rPr>
              <w:lastRenderedPageBreak/>
              <w:t>八、评审情况</w:t>
            </w:r>
          </w:p>
        </w:tc>
      </w:tr>
      <w:tr w:rsidR="00E22223" w14:paraId="3D88CB4C" w14:textId="77777777">
        <w:trPr>
          <w:trHeight w:val="285"/>
        </w:trPr>
        <w:tc>
          <w:tcPr>
            <w:tcW w:w="8295" w:type="dxa"/>
            <w:tcBorders>
              <w:top w:val="single" w:sz="4" w:space="0" w:color="auto"/>
              <w:left w:val="single" w:sz="4" w:space="0" w:color="auto"/>
              <w:right w:val="single" w:sz="4" w:space="0" w:color="auto"/>
            </w:tcBorders>
            <w:tcMar>
              <w:top w:w="15" w:type="dxa"/>
              <w:left w:w="15" w:type="dxa"/>
              <w:bottom w:w="0" w:type="dxa"/>
              <w:right w:w="15" w:type="dxa"/>
            </w:tcMar>
            <w:vAlign w:val="center"/>
          </w:tcPr>
          <w:p w14:paraId="5DAC7EC9" w14:textId="77777777" w:rsidR="00E22223" w:rsidRDefault="00000000">
            <w:pPr>
              <w:rPr>
                <w:rFonts w:ascii="仿宋_GB2312" w:eastAsia="仿宋_GB2312" w:hAnsi="宋体"/>
                <w:b/>
                <w:bCs/>
                <w:color w:val="000000" w:themeColor="text1"/>
                <w:sz w:val="28"/>
              </w:rPr>
            </w:pPr>
            <w:r>
              <w:rPr>
                <w:rFonts w:ascii="仿宋_GB2312" w:eastAsia="仿宋_GB2312" w:hint="eastAsia"/>
                <w:b/>
                <w:bCs/>
                <w:color w:val="000000" w:themeColor="text1"/>
                <w:sz w:val="28"/>
              </w:rPr>
              <w:t>指导教师意见：</w:t>
            </w:r>
          </w:p>
        </w:tc>
      </w:tr>
      <w:tr w:rsidR="00E22223" w14:paraId="4EE77D75" w14:textId="77777777">
        <w:trPr>
          <w:trHeight w:val="1506"/>
        </w:trPr>
        <w:tc>
          <w:tcPr>
            <w:tcW w:w="8295" w:type="dxa"/>
            <w:tcBorders>
              <w:left w:val="single" w:sz="4" w:space="0" w:color="auto"/>
              <w:right w:val="single" w:sz="4" w:space="0" w:color="auto"/>
            </w:tcBorders>
            <w:tcMar>
              <w:top w:w="15" w:type="dxa"/>
              <w:left w:w="15" w:type="dxa"/>
              <w:bottom w:w="0" w:type="dxa"/>
              <w:right w:w="15" w:type="dxa"/>
            </w:tcMar>
            <w:vAlign w:val="center"/>
          </w:tcPr>
          <w:p w14:paraId="43EBFA20" w14:textId="77777777" w:rsidR="00E22223" w:rsidRDefault="00000000">
            <w:pPr>
              <w:jc w:val="center"/>
              <w:rPr>
                <w:rFonts w:ascii="仿宋_GB2312" w:eastAsia="仿宋_GB2312" w:hAnsi="宋体"/>
                <w:b/>
                <w:bCs/>
                <w:color w:val="000000" w:themeColor="text1"/>
                <w:sz w:val="28"/>
              </w:rPr>
            </w:pPr>
            <w:r>
              <w:rPr>
                <w:rFonts w:ascii="仿宋_GB2312" w:eastAsia="仿宋_GB2312" w:hint="eastAsia"/>
                <w:b/>
                <w:bCs/>
                <w:color w:val="000000" w:themeColor="text1"/>
                <w:sz w:val="28"/>
              </w:rPr>
              <w:t xml:space="preserve">　</w:t>
            </w:r>
          </w:p>
        </w:tc>
      </w:tr>
      <w:tr w:rsidR="00E22223" w14:paraId="178E4B90" w14:textId="77777777">
        <w:trPr>
          <w:trHeight w:val="285"/>
        </w:trPr>
        <w:tc>
          <w:tcPr>
            <w:tcW w:w="8295" w:type="dxa"/>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21C4D78F" w14:textId="77777777" w:rsidR="00E22223" w:rsidRDefault="00000000">
            <w:pPr>
              <w:jc w:val="right"/>
              <w:rPr>
                <w:rFonts w:ascii="仿宋_GB2312" w:eastAsia="仿宋_GB2312" w:hAnsi="宋体"/>
                <w:b/>
                <w:bCs/>
                <w:color w:val="000000" w:themeColor="text1"/>
                <w:sz w:val="28"/>
              </w:rPr>
            </w:pPr>
            <w:r>
              <w:rPr>
                <w:rFonts w:ascii="仿宋_GB2312" w:eastAsia="仿宋_GB2312" w:hint="eastAsia"/>
                <w:b/>
                <w:bCs/>
                <w:color w:val="000000" w:themeColor="text1"/>
                <w:sz w:val="28"/>
              </w:rPr>
              <w:t>指导教师（签名）：</w:t>
            </w:r>
            <w:r>
              <w:rPr>
                <w:rFonts w:ascii="仿宋_GB2312" w:eastAsia="仿宋_GB2312"/>
                <w:b/>
                <w:bCs/>
                <w:color w:val="000000" w:themeColor="text1"/>
                <w:sz w:val="28"/>
              </w:rPr>
              <w:t xml:space="preserve">                 </w:t>
            </w:r>
            <w:r>
              <w:rPr>
                <w:rFonts w:ascii="仿宋_GB2312" w:eastAsia="仿宋_GB2312" w:hint="eastAsia"/>
                <w:b/>
                <w:bCs/>
                <w:color w:val="000000" w:themeColor="text1"/>
                <w:sz w:val="28"/>
              </w:rPr>
              <w:t>年</w:t>
            </w:r>
            <w:r>
              <w:rPr>
                <w:rFonts w:ascii="仿宋_GB2312" w:eastAsia="仿宋_GB2312"/>
                <w:b/>
                <w:bCs/>
                <w:color w:val="000000" w:themeColor="text1"/>
                <w:sz w:val="28"/>
              </w:rPr>
              <w:t xml:space="preserve">  </w:t>
            </w:r>
            <w:r>
              <w:rPr>
                <w:rFonts w:ascii="仿宋_GB2312" w:eastAsia="仿宋_GB2312" w:hint="eastAsia"/>
                <w:b/>
                <w:bCs/>
                <w:color w:val="000000" w:themeColor="text1"/>
                <w:sz w:val="28"/>
              </w:rPr>
              <w:t>月</w:t>
            </w:r>
            <w:r>
              <w:rPr>
                <w:rFonts w:ascii="仿宋_GB2312" w:eastAsia="仿宋_GB2312"/>
                <w:b/>
                <w:bCs/>
                <w:color w:val="000000" w:themeColor="text1"/>
                <w:sz w:val="28"/>
              </w:rPr>
              <w:t xml:space="preserve">  </w:t>
            </w:r>
            <w:r>
              <w:rPr>
                <w:rFonts w:ascii="仿宋_GB2312" w:eastAsia="仿宋_GB2312" w:hint="eastAsia"/>
                <w:b/>
                <w:bCs/>
                <w:color w:val="000000" w:themeColor="text1"/>
                <w:sz w:val="28"/>
              </w:rPr>
              <w:t>日</w:t>
            </w:r>
          </w:p>
        </w:tc>
      </w:tr>
      <w:tr w:rsidR="00E22223" w14:paraId="1101055F" w14:textId="77777777">
        <w:trPr>
          <w:trHeight w:val="285"/>
        </w:trPr>
        <w:tc>
          <w:tcPr>
            <w:tcW w:w="8295" w:type="dxa"/>
            <w:tcBorders>
              <w:top w:val="single" w:sz="4" w:space="0" w:color="auto"/>
              <w:left w:val="single" w:sz="4" w:space="0" w:color="auto"/>
              <w:right w:val="single" w:sz="4" w:space="0" w:color="auto"/>
            </w:tcBorders>
            <w:tcMar>
              <w:top w:w="15" w:type="dxa"/>
              <w:left w:w="15" w:type="dxa"/>
              <w:bottom w:w="0" w:type="dxa"/>
              <w:right w:w="15" w:type="dxa"/>
            </w:tcMar>
            <w:vAlign w:val="center"/>
          </w:tcPr>
          <w:p w14:paraId="48F59925" w14:textId="77777777" w:rsidR="00E22223" w:rsidRDefault="00000000">
            <w:pPr>
              <w:rPr>
                <w:rFonts w:ascii="仿宋_GB2312" w:eastAsia="仿宋_GB2312" w:hAnsi="宋体"/>
                <w:b/>
                <w:bCs/>
                <w:color w:val="000000" w:themeColor="text1"/>
                <w:sz w:val="28"/>
              </w:rPr>
            </w:pPr>
            <w:r>
              <w:rPr>
                <w:rFonts w:ascii="仿宋_GB2312" w:eastAsia="仿宋_GB2312" w:hint="eastAsia"/>
                <w:b/>
                <w:bCs/>
                <w:color w:val="000000" w:themeColor="text1"/>
                <w:sz w:val="28"/>
              </w:rPr>
              <w:t>学院推荐意见：</w:t>
            </w:r>
          </w:p>
        </w:tc>
      </w:tr>
      <w:tr w:rsidR="00E22223" w14:paraId="4CCD6F39" w14:textId="77777777">
        <w:trPr>
          <w:cantSplit/>
          <w:trHeight w:val="1500"/>
        </w:trPr>
        <w:tc>
          <w:tcPr>
            <w:tcW w:w="8295" w:type="dxa"/>
            <w:tcBorders>
              <w:left w:val="single" w:sz="4" w:space="0" w:color="auto"/>
              <w:right w:val="single" w:sz="4" w:space="0" w:color="auto"/>
            </w:tcBorders>
            <w:tcMar>
              <w:top w:w="15" w:type="dxa"/>
              <w:left w:w="15" w:type="dxa"/>
              <w:bottom w:w="0" w:type="dxa"/>
              <w:right w:w="15" w:type="dxa"/>
            </w:tcMar>
            <w:vAlign w:val="center"/>
          </w:tcPr>
          <w:p w14:paraId="6F37DAAF" w14:textId="77777777" w:rsidR="00E22223" w:rsidRDefault="00000000">
            <w:pPr>
              <w:rPr>
                <w:rFonts w:ascii="仿宋_GB2312" w:eastAsia="仿宋_GB2312" w:hAnsi="宋体"/>
                <w:b/>
                <w:bCs/>
                <w:color w:val="000000" w:themeColor="text1"/>
                <w:sz w:val="28"/>
              </w:rPr>
            </w:pPr>
            <w:r>
              <w:rPr>
                <w:rFonts w:ascii="仿宋_GB2312" w:eastAsia="仿宋_GB2312" w:hint="eastAsia"/>
                <w:b/>
                <w:bCs/>
                <w:color w:val="000000" w:themeColor="text1"/>
                <w:sz w:val="28"/>
              </w:rPr>
              <w:t xml:space="preserve">　</w:t>
            </w:r>
          </w:p>
        </w:tc>
      </w:tr>
      <w:tr w:rsidR="00E22223" w14:paraId="68D2FDF5" w14:textId="77777777">
        <w:trPr>
          <w:trHeight w:val="285"/>
        </w:trPr>
        <w:tc>
          <w:tcPr>
            <w:tcW w:w="8295" w:type="dxa"/>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0030BD18" w14:textId="77777777" w:rsidR="00E22223" w:rsidRDefault="00000000">
            <w:pPr>
              <w:jc w:val="right"/>
              <w:rPr>
                <w:rFonts w:ascii="仿宋_GB2312" w:eastAsia="仿宋_GB2312" w:hAnsi="宋体"/>
                <w:b/>
                <w:bCs/>
                <w:color w:val="000000" w:themeColor="text1"/>
                <w:sz w:val="28"/>
              </w:rPr>
            </w:pPr>
            <w:r>
              <w:rPr>
                <w:rFonts w:ascii="仿宋_GB2312" w:eastAsia="仿宋_GB2312" w:hint="eastAsia"/>
                <w:b/>
                <w:bCs/>
                <w:color w:val="000000" w:themeColor="text1"/>
                <w:sz w:val="28"/>
              </w:rPr>
              <w:t>主管院长签名：</w:t>
            </w:r>
            <w:r>
              <w:rPr>
                <w:rFonts w:ascii="仿宋_GB2312" w:eastAsia="仿宋_GB2312"/>
                <w:b/>
                <w:bCs/>
                <w:color w:val="000000" w:themeColor="text1"/>
                <w:sz w:val="28"/>
              </w:rPr>
              <w:t xml:space="preserve">                  </w:t>
            </w:r>
            <w:r>
              <w:rPr>
                <w:rFonts w:ascii="仿宋_GB2312" w:eastAsia="仿宋_GB2312" w:hint="eastAsia"/>
                <w:b/>
                <w:bCs/>
                <w:color w:val="000000" w:themeColor="text1"/>
                <w:sz w:val="28"/>
              </w:rPr>
              <w:t>年</w:t>
            </w:r>
            <w:r>
              <w:rPr>
                <w:rFonts w:ascii="仿宋_GB2312" w:eastAsia="仿宋_GB2312"/>
                <w:b/>
                <w:bCs/>
                <w:color w:val="000000" w:themeColor="text1"/>
                <w:sz w:val="28"/>
              </w:rPr>
              <w:t xml:space="preserve">  </w:t>
            </w:r>
            <w:r>
              <w:rPr>
                <w:rFonts w:ascii="仿宋_GB2312" w:eastAsia="仿宋_GB2312" w:hint="eastAsia"/>
                <w:b/>
                <w:bCs/>
                <w:color w:val="000000" w:themeColor="text1"/>
                <w:sz w:val="28"/>
              </w:rPr>
              <w:t>月</w:t>
            </w:r>
            <w:r>
              <w:rPr>
                <w:rFonts w:ascii="仿宋_GB2312" w:eastAsia="仿宋_GB2312"/>
                <w:b/>
                <w:bCs/>
                <w:color w:val="000000" w:themeColor="text1"/>
                <w:sz w:val="28"/>
              </w:rPr>
              <w:t xml:space="preserve">  </w:t>
            </w:r>
            <w:r>
              <w:rPr>
                <w:rFonts w:ascii="仿宋_GB2312" w:eastAsia="仿宋_GB2312" w:hint="eastAsia"/>
                <w:b/>
                <w:bCs/>
                <w:color w:val="000000" w:themeColor="text1"/>
                <w:sz w:val="28"/>
              </w:rPr>
              <w:t>日</w:t>
            </w:r>
          </w:p>
        </w:tc>
      </w:tr>
      <w:tr w:rsidR="00E22223" w14:paraId="32F96EBA" w14:textId="77777777">
        <w:trPr>
          <w:trHeight w:val="285"/>
        </w:trPr>
        <w:tc>
          <w:tcPr>
            <w:tcW w:w="8295" w:type="dxa"/>
            <w:tcBorders>
              <w:top w:val="single" w:sz="4" w:space="0" w:color="auto"/>
              <w:left w:val="single" w:sz="4" w:space="0" w:color="auto"/>
              <w:right w:val="single" w:sz="4" w:space="0" w:color="auto"/>
            </w:tcBorders>
            <w:tcMar>
              <w:top w:w="15" w:type="dxa"/>
              <w:left w:w="15" w:type="dxa"/>
              <w:bottom w:w="0" w:type="dxa"/>
              <w:right w:w="15" w:type="dxa"/>
            </w:tcMar>
            <w:vAlign w:val="center"/>
          </w:tcPr>
          <w:p w14:paraId="0165A1B6" w14:textId="77777777" w:rsidR="00E22223" w:rsidRDefault="00000000">
            <w:pPr>
              <w:rPr>
                <w:rFonts w:ascii="仿宋_GB2312" w:eastAsia="仿宋_GB2312" w:hAnsi="宋体"/>
                <w:b/>
                <w:bCs/>
                <w:color w:val="000000" w:themeColor="text1"/>
                <w:sz w:val="28"/>
              </w:rPr>
            </w:pPr>
            <w:r>
              <w:rPr>
                <w:rFonts w:ascii="仿宋_GB2312" w:eastAsia="仿宋_GB2312" w:hint="eastAsia"/>
                <w:b/>
                <w:bCs/>
                <w:color w:val="000000" w:themeColor="text1"/>
                <w:sz w:val="28"/>
              </w:rPr>
              <w:t>学校专家评审意见：</w:t>
            </w:r>
          </w:p>
        </w:tc>
      </w:tr>
      <w:tr w:rsidR="00E22223" w14:paraId="40C77F33" w14:textId="77777777">
        <w:trPr>
          <w:trHeight w:val="2415"/>
        </w:trPr>
        <w:tc>
          <w:tcPr>
            <w:tcW w:w="8295" w:type="dxa"/>
            <w:tcBorders>
              <w:left w:val="single" w:sz="4" w:space="0" w:color="auto"/>
              <w:right w:val="single" w:sz="4" w:space="0" w:color="auto"/>
            </w:tcBorders>
            <w:tcMar>
              <w:top w:w="15" w:type="dxa"/>
              <w:left w:w="15" w:type="dxa"/>
              <w:bottom w:w="0" w:type="dxa"/>
              <w:right w:w="15" w:type="dxa"/>
            </w:tcMar>
            <w:vAlign w:val="center"/>
          </w:tcPr>
          <w:p w14:paraId="2619A479" w14:textId="77777777" w:rsidR="00E22223" w:rsidRDefault="00000000">
            <w:pPr>
              <w:rPr>
                <w:rFonts w:ascii="仿宋_GB2312" w:eastAsia="仿宋_GB2312" w:hAnsi="宋体"/>
                <w:b/>
                <w:bCs/>
                <w:color w:val="000000" w:themeColor="text1"/>
                <w:sz w:val="28"/>
              </w:rPr>
            </w:pPr>
            <w:r>
              <w:rPr>
                <w:rFonts w:ascii="仿宋_GB2312" w:eastAsia="仿宋_GB2312"/>
                <w:b/>
                <w:bCs/>
                <w:color w:val="000000" w:themeColor="text1"/>
                <w:sz w:val="28"/>
              </w:rPr>
              <w:t xml:space="preserve">　</w:t>
            </w:r>
          </w:p>
        </w:tc>
      </w:tr>
      <w:tr w:rsidR="00E22223" w14:paraId="62F5714D" w14:textId="77777777">
        <w:trPr>
          <w:trHeight w:val="285"/>
        </w:trPr>
        <w:tc>
          <w:tcPr>
            <w:tcW w:w="8295" w:type="dxa"/>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4067A36D" w14:textId="77777777" w:rsidR="00E22223" w:rsidRDefault="00000000">
            <w:pPr>
              <w:jc w:val="right"/>
              <w:rPr>
                <w:rFonts w:ascii="仿宋_GB2312" w:eastAsia="仿宋_GB2312" w:hAnsi="宋体"/>
                <w:b/>
                <w:bCs/>
                <w:color w:val="000000" w:themeColor="text1"/>
                <w:sz w:val="28"/>
              </w:rPr>
            </w:pPr>
            <w:r>
              <w:rPr>
                <w:rFonts w:ascii="仿宋_GB2312" w:eastAsia="仿宋_GB2312" w:hint="eastAsia"/>
                <w:b/>
                <w:bCs/>
                <w:color w:val="000000" w:themeColor="text1"/>
                <w:sz w:val="28"/>
              </w:rPr>
              <w:t>组长签名：</w:t>
            </w:r>
            <w:r>
              <w:rPr>
                <w:rFonts w:ascii="仿宋_GB2312" w:eastAsia="仿宋_GB2312"/>
                <w:b/>
                <w:bCs/>
                <w:color w:val="000000" w:themeColor="text1"/>
                <w:sz w:val="28"/>
              </w:rPr>
              <w:t xml:space="preserve">                 </w:t>
            </w:r>
            <w:r>
              <w:rPr>
                <w:rFonts w:ascii="仿宋_GB2312" w:eastAsia="仿宋_GB2312" w:hint="eastAsia"/>
                <w:b/>
                <w:bCs/>
                <w:color w:val="000000" w:themeColor="text1"/>
                <w:sz w:val="28"/>
              </w:rPr>
              <w:t>年</w:t>
            </w:r>
            <w:r>
              <w:rPr>
                <w:rFonts w:ascii="仿宋_GB2312" w:eastAsia="仿宋_GB2312"/>
                <w:b/>
                <w:bCs/>
                <w:color w:val="000000" w:themeColor="text1"/>
                <w:sz w:val="28"/>
              </w:rPr>
              <w:t xml:space="preserve">  </w:t>
            </w:r>
            <w:r>
              <w:rPr>
                <w:rFonts w:ascii="仿宋_GB2312" w:eastAsia="仿宋_GB2312" w:hint="eastAsia"/>
                <w:b/>
                <w:bCs/>
                <w:color w:val="000000" w:themeColor="text1"/>
                <w:sz w:val="28"/>
              </w:rPr>
              <w:t>月</w:t>
            </w:r>
            <w:r>
              <w:rPr>
                <w:rFonts w:ascii="仿宋_GB2312" w:eastAsia="仿宋_GB2312"/>
                <w:b/>
                <w:bCs/>
                <w:color w:val="000000" w:themeColor="text1"/>
                <w:sz w:val="28"/>
              </w:rPr>
              <w:t xml:space="preserve">  </w:t>
            </w:r>
            <w:r>
              <w:rPr>
                <w:rFonts w:ascii="仿宋_GB2312" w:eastAsia="仿宋_GB2312" w:hint="eastAsia"/>
                <w:b/>
                <w:bCs/>
                <w:color w:val="000000" w:themeColor="text1"/>
                <w:sz w:val="28"/>
              </w:rPr>
              <w:t>日</w:t>
            </w:r>
          </w:p>
        </w:tc>
      </w:tr>
      <w:tr w:rsidR="00E22223" w14:paraId="4894A4F5" w14:textId="77777777">
        <w:trPr>
          <w:trHeight w:val="285"/>
        </w:trPr>
        <w:tc>
          <w:tcPr>
            <w:tcW w:w="8295" w:type="dxa"/>
            <w:tcBorders>
              <w:top w:val="single" w:sz="4" w:space="0" w:color="auto"/>
              <w:left w:val="single" w:sz="4" w:space="0" w:color="auto"/>
              <w:right w:val="single" w:sz="4" w:space="0" w:color="auto"/>
            </w:tcBorders>
            <w:tcMar>
              <w:top w:w="15" w:type="dxa"/>
              <w:left w:w="15" w:type="dxa"/>
              <w:bottom w:w="0" w:type="dxa"/>
              <w:right w:w="15" w:type="dxa"/>
            </w:tcMar>
            <w:vAlign w:val="center"/>
          </w:tcPr>
          <w:p w14:paraId="7D08759B" w14:textId="77777777" w:rsidR="00E22223" w:rsidRDefault="00000000">
            <w:pPr>
              <w:rPr>
                <w:rFonts w:ascii="仿宋_GB2312" w:eastAsia="仿宋_GB2312" w:hAnsi="宋体"/>
                <w:b/>
                <w:bCs/>
                <w:color w:val="000000" w:themeColor="text1"/>
                <w:sz w:val="28"/>
              </w:rPr>
            </w:pPr>
            <w:r>
              <w:rPr>
                <w:rFonts w:ascii="仿宋_GB2312" w:eastAsia="仿宋_GB2312" w:hint="eastAsia"/>
                <w:b/>
                <w:bCs/>
                <w:color w:val="000000" w:themeColor="text1"/>
                <w:sz w:val="28"/>
              </w:rPr>
              <w:t>学校认定意见及批准经费：</w:t>
            </w:r>
          </w:p>
        </w:tc>
      </w:tr>
      <w:tr w:rsidR="00E22223" w14:paraId="6E03BC61" w14:textId="77777777">
        <w:trPr>
          <w:trHeight w:val="1839"/>
        </w:trPr>
        <w:tc>
          <w:tcPr>
            <w:tcW w:w="8295" w:type="dxa"/>
            <w:tcBorders>
              <w:left w:val="single" w:sz="4" w:space="0" w:color="auto"/>
              <w:right w:val="single" w:sz="4" w:space="0" w:color="auto"/>
            </w:tcBorders>
            <w:tcMar>
              <w:top w:w="15" w:type="dxa"/>
              <w:left w:w="15" w:type="dxa"/>
              <w:bottom w:w="0" w:type="dxa"/>
              <w:right w:w="15" w:type="dxa"/>
            </w:tcMar>
            <w:vAlign w:val="center"/>
          </w:tcPr>
          <w:p w14:paraId="09892958" w14:textId="77777777" w:rsidR="00E22223" w:rsidRDefault="00000000">
            <w:pPr>
              <w:rPr>
                <w:rFonts w:ascii="仿宋_GB2312" w:eastAsia="仿宋_GB2312" w:hAnsi="宋体"/>
                <w:b/>
                <w:bCs/>
                <w:color w:val="000000" w:themeColor="text1"/>
                <w:sz w:val="28"/>
              </w:rPr>
            </w:pPr>
            <w:r>
              <w:rPr>
                <w:rFonts w:ascii="仿宋_GB2312" w:eastAsia="仿宋_GB2312"/>
                <w:b/>
                <w:bCs/>
                <w:color w:val="000000" w:themeColor="text1"/>
                <w:sz w:val="28"/>
              </w:rPr>
              <w:t xml:space="preserve">　</w:t>
            </w:r>
          </w:p>
        </w:tc>
      </w:tr>
      <w:tr w:rsidR="00E22223" w14:paraId="6E8E800F" w14:textId="77777777">
        <w:trPr>
          <w:trHeight w:val="285"/>
        </w:trPr>
        <w:tc>
          <w:tcPr>
            <w:tcW w:w="8295" w:type="dxa"/>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205EC3E9" w14:textId="77777777" w:rsidR="00E22223" w:rsidRDefault="00000000">
            <w:pPr>
              <w:jc w:val="right"/>
              <w:rPr>
                <w:rFonts w:ascii="仿宋_GB2312" w:eastAsia="仿宋_GB2312" w:hAnsi="宋体"/>
                <w:b/>
                <w:bCs/>
                <w:color w:val="000000" w:themeColor="text1"/>
                <w:sz w:val="28"/>
              </w:rPr>
            </w:pPr>
            <w:r>
              <w:rPr>
                <w:rFonts w:ascii="仿宋_GB2312" w:eastAsia="仿宋_GB2312"/>
                <w:b/>
                <w:bCs/>
                <w:color w:val="000000" w:themeColor="text1"/>
                <w:sz w:val="28"/>
              </w:rPr>
              <w:t xml:space="preserve">    学校负责人签名：                年  月  日 </w:t>
            </w:r>
          </w:p>
        </w:tc>
      </w:tr>
    </w:tbl>
    <w:p w14:paraId="6BD3A50D" w14:textId="77777777" w:rsidR="00E22223" w:rsidRDefault="00E22223">
      <w:pPr>
        <w:rPr>
          <w:color w:val="000000" w:themeColor="text1"/>
        </w:rPr>
      </w:pPr>
    </w:p>
    <w:p w14:paraId="316FC940" w14:textId="2FB563B3" w:rsidR="00E22223" w:rsidRDefault="00E22223">
      <w:pPr>
        <w:rPr>
          <w:rFonts w:ascii="Calibri" w:hAnsi="Calibri" w:cs="Calibri"/>
          <w:color w:val="000000" w:themeColor="text1"/>
          <w:sz w:val="24"/>
        </w:rPr>
      </w:pPr>
    </w:p>
    <w:sectPr w:rsidR="00E2222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行楷">
    <w:altName w:val="微软雅黑"/>
    <w:charset w:val="86"/>
    <w:family w:val="auto"/>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Wingdings 2">
    <w:altName w:val="Wingdings"/>
    <w:charset w:val="02"/>
    <w:family w:val="roman"/>
    <w:pitch w:val="default"/>
    <w:sig w:usb0="00000000" w:usb1="0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D31E2"/>
    <w:multiLevelType w:val="multilevel"/>
    <w:tmpl w:val="05CD31E2"/>
    <w:lvl w:ilvl="0">
      <w:start w:val="2"/>
      <w:numFmt w:val="chineseCountingThousand"/>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7E043F7"/>
    <w:multiLevelType w:val="multilevel"/>
    <w:tmpl w:val="07E043F7"/>
    <w:lvl w:ilvl="0">
      <w:start w:val="1"/>
      <w:numFmt w:val="decimal"/>
      <w:lvlText w:val="（%1）"/>
      <w:lvlJc w:val="left"/>
      <w:pPr>
        <w:ind w:left="1467" w:hanging="720"/>
      </w:pPr>
      <w:rPr>
        <w:rFonts w:hint="default"/>
      </w:rPr>
    </w:lvl>
    <w:lvl w:ilvl="1">
      <w:start w:val="1"/>
      <w:numFmt w:val="lowerLetter"/>
      <w:lvlText w:val="%2)"/>
      <w:lvlJc w:val="left"/>
      <w:pPr>
        <w:ind w:left="1587" w:hanging="420"/>
      </w:pPr>
    </w:lvl>
    <w:lvl w:ilvl="2">
      <w:start w:val="1"/>
      <w:numFmt w:val="lowerRoman"/>
      <w:lvlText w:val="%3."/>
      <w:lvlJc w:val="right"/>
      <w:pPr>
        <w:ind w:left="2007" w:hanging="420"/>
      </w:pPr>
    </w:lvl>
    <w:lvl w:ilvl="3">
      <w:start w:val="1"/>
      <w:numFmt w:val="decimal"/>
      <w:lvlText w:val="%4."/>
      <w:lvlJc w:val="left"/>
      <w:pPr>
        <w:ind w:left="2427" w:hanging="420"/>
      </w:pPr>
    </w:lvl>
    <w:lvl w:ilvl="4">
      <w:start w:val="1"/>
      <w:numFmt w:val="lowerLetter"/>
      <w:lvlText w:val="%5)"/>
      <w:lvlJc w:val="left"/>
      <w:pPr>
        <w:ind w:left="2847" w:hanging="420"/>
      </w:pPr>
    </w:lvl>
    <w:lvl w:ilvl="5">
      <w:start w:val="1"/>
      <w:numFmt w:val="lowerRoman"/>
      <w:lvlText w:val="%6."/>
      <w:lvlJc w:val="right"/>
      <w:pPr>
        <w:ind w:left="3267" w:hanging="420"/>
      </w:pPr>
    </w:lvl>
    <w:lvl w:ilvl="6">
      <w:start w:val="1"/>
      <w:numFmt w:val="decimal"/>
      <w:lvlText w:val="%7."/>
      <w:lvlJc w:val="left"/>
      <w:pPr>
        <w:ind w:left="3687" w:hanging="420"/>
      </w:pPr>
    </w:lvl>
    <w:lvl w:ilvl="7">
      <w:start w:val="1"/>
      <w:numFmt w:val="lowerLetter"/>
      <w:lvlText w:val="%8)"/>
      <w:lvlJc w:val="left"/>
      <w:pPr>
        <w:ind w:left="4107" w:hanging="420"/>
      </w:pPr>
    </w:lvl>
    <w:lvl w:ilvl="8">
      <w:start w:val="1"/>
      <w:numFmt w:val="lowerRoman"/>
      <w:lvlText w:val="%9."/>
      <w:lvlJc w:val="right"/>
      <w:pPr>
        <w:ind w:left="4527" w:hanging="420"/>
      </w:pPr>
    </w:lvl>
  </w:abstractNum>
  <w:abstractNum w:abstractNumId="2" w15:restartNumberingAfterBreak="0">
    <w:nsid w:val="0E3E24CE"/>
    <w:multiLevelType w:val="singleLevel"/>
    <w:tmpl w:val="0E3E24CE"/>
    <w:lvl w:ilvl="0">
      <w:start w:val="3"/>
      <w:numFmt w:val="chineseCountingThousand"/>
      <w:lvlText w:val="%1、"/>
      <w:lvlJc w:val="left"/>
      <w:pPr>
        <w:ind w:left="420" w:hanging="420"/>
      </w:pPr>
      <w:rPr>
        <w:rFonts w:hint="eastAsia"/>
      </w:rPr>
    </w:lvl>
  </w:abstractNum>
  <w:abstractNum w:abstractNumId="3" w15:restartNumberingAfterBreak="0">
    <w:nsid w:val="0EFE6548"/>
    <w:multiLevelType w:val="multilevel"/>
    <w:tmpl w:val="0EFE6548"/>
    <w:lvl w:ilvl="0">
      <w:start w:val="1"/>
      <w:numFmt w:val="chineseCountingThousand"/>
      <w:lvlText w:val="%1、"/>
      <w:lvlJc w:val="left"/>
      <w:pPr>
        <w:ind w:left="988" w:hanging="420"/>
      </w:p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4" w15:restartNumberingAfterBreak="0">
    <w:nsid w:val="14A526D7"/>
    <w:multiLevelType w:val="multilevel"/>
    <w:tmpl w:val="14A526D7"/>
    <w:lvl w:ilvl="0">
      <w:start w:val="1"/>
      <w:numFmt w:val="chineseCountingThousand"/>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55F20AE"/>
    <w:multiLevelType w:val="multilevel"/>
    <w:tmpl w:val="155F20AE"/>
    <w:lvl w:ilvl="0">
      <w:start w:val="2"/>
      <w:numFmt w:val="none"/>
      <w:lvlText w:val="二、"/>
      <w:lvlJc w:val="left"/>
      <w:pPr>
        <w:ind w:left="504" w:hanging="504"/>
      </w:pPr>
      <w:rPr>
        <w:rFonts w:hint="default"/>
      </w:rPr>
    </w:lvl>
    <w:lvl w:ilvl="1">
      <w:start w:val="3"/>
      <w:numFmt w:val="japaneseCounting"/>
      <w:lvlText w:val="%2、"/>
      <w:lvlJc w:val="left"/>
      <w:pPr>
        <w:ind w:left="996" w:hanging="576"/>
      </w:pPr>
      <w:rPr>
        <w:rFonts w:hAnsi="Times New Roman"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6086095"/>
    <w:multiLevelType w:val="multilevel"/>
    <w:tmpl w:val="16086095"/>
    <w:lvl w:ilvl="0">
      <w:start w:val="1"/>
      <w:numFmt w:val="decimal"/>
      <w:lvlText w:val="（%1）"/>
      <w:lvlJc w:val="left"/>
      <w:pPr>
        <w:ind w:left="987" w:hanging="420"/>
      </w:pPr>
    </w:lvl>
    <w:lvl w:ilvl="1">
      <w:start w:val="2"/>
      <w:numFmt w:val="japaneseCounting"/>
      <w:lvlText w:val="%2、"/>
      <w:lvlJc w:val="left"/>
      <w:pPr>
        <w:ind w:left="1707" w:hanging="720"/>
      </w:pPr>
      <w:rPr>
        <w:rFonts w:hint="default"/>
      </w:r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7" w15:restartNumberingAfterBreak="0">
    <w:nsid w:val="1881513C"/>
    <w:multiLevelType w:val="multilevel"/>
    <w:tmpl w:val="1881513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1A542F50"/>
    <w:multiLevelType w:val="multilevel"/>
    <w:tmpl w:val="1A542F50"/>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1F7A43EC"/>
    <w:multiLevelType w:val="multilevel"/>
    <w:tmpl w:val="1F7A43EC"/>
    <w:lvl w:ilvl="0">
      <w:start w:val="2"/>
      <w:numFmt w:val="decimal"/>
      <w:pStyle w:val="dachuang3"/>
      <w:lvlText w:val="%1."/>
      <w:lvlJc w:val="left"/>
      <w:pPr>
        <w:ind w:left="420" w:hanging="420"/>
      </w:pPr>
      <w:rPr>
        <w:rFonts w:hint="eastAsia"/>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30CA6502"/>
    <w:multiLevelType w:val="multilevel"/>
    <w:tmpl w:val="30CA6502"/>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1" w15:restartNumberingAfterBreak="0">
    <w:nsid w:val="58A02A1B"/>
    <w:multiLevelType w:val="multilevel"/>
    <w:tmpl w:val="58A02A1B"/>
    <w:lvl w:ilvl="0">
      <w:start w:val="1"/>
      <w:numFmt w:val="decimal"/>
      <w:lvlText w:val="%1."/>
      <w:lvlJc w:val="left"/>
      <w:pPr>
        <w:ind w:left="420" w:hanging="420"/>
      </w:pPr>
      <w:rPr>
        <w:rFonts w:ascii="宋体" w:eastAsia="宋体" w:hAnsi="宋体"/>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5A7C09E9"/>
    <w:multiLevelType w:val="multilevel"/>
    <w:tmpl w:val="5A7C09E9"/>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6C914535"/>
    <w:multiLevelType w:val="singleLevel"/>
    <w:tmpl w:val="6C914535"/>
    <w:lvl w:ilvl="0">
      <w:start w:val="3"/>
      <w:numFmt w:val="chineseCountingThousand"/>
      <w:lvlText w:val="%1、"/>
      <w:lvlJc w:val="left"/>
      <w:pPr>
        <w:ind w:left="420" w:hanging="420"/>
      </w:pPr>
      <w:rPr>
        <w:rFonts w:hint="eastAsia"/>
      </w:rPr>
    </w:lvl>
  </w:abstractNum>
  <w:abstractNum w:abstractNumId="14" w15:restartNumberingAfterBreak="0">
    <w:nsid w:val="6D261137"/>
    <w:multiLevelType w:val="multilevel"/>
    <w:tmpl w:val="6D261137"/>
    <w:lvl w:ilvl="0">
      <w:start w:val="1"/>
      <w:numFmt w:val="japaneseCounting"/>
      <w:lvlText w:val="%1、"/>
      <w:lvlJc w:val="left"/>
      <w:pPr>
        <w:ind w:left="504" w:hanging="504"/>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75F340F2"/>
    <w:multiLevelType w:val="multilevel"/>
    <w:tmpl w:val="75F340F2"/>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7D7718C3"/>
    <w:multiLevelType w:val="multilevel"/>
    <w:tmpl w:val="7D7718C3"/>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16cid:durableId="637800424">
    <w:abstractNumId w:val="9"/>
  </w:num>
  <w:num w:numId="2" w16cid:durableId="1770662429">
    <w:abstractNumId w:val="12"/>
  </w:num>
  <w:num w:numId="3" w16cid:durableId="288171276">
    <w:abstractNumId w:val="16"/>
  </w:num>
  <w:num w:numId="4" w16cid:durableId="743719500">
    <w:abstractNumId w:val="2"/>
  </w:num>
  <w:num w:numId="5" w16cid:durableId="1155797658">
    <w:abstractNumId w:val="6"/>
  </w:num>
  <w:num w:numId="6" w16cid:durableId="1894344726">
    <w:abstractNumId w:val="4"/>
  </w:num>
  <w:num w:numId="7" w16cid:durableId="1302930235">
    <w:abstractNumId w:val="11"/>
  </w:num>
  <w:num w:numId="8" w16cid:durableId="201207772">
    <w:abstractNumId w:val="15"/>
  </w:num>
  <w:num w:numId="9" w16cid:durableId="448667936">
    <w:abstractNumId w:val="10"/>
  </w:num>
  <w:num w:numId="10" w16cid:durableId="1022784536">
    <w:abstractNumId w:val="7"/>
  </w:num>
  <w:num w:numId="11" w16cid:durableId="1477839234">
    <w:abstractNumId w:val="5"/>
  </w:num>
  <w:num w:numId="12" w16cid:durableId="389505284">
    <w:abstractNumId w:val="3"/>
  </w:num>
  <w:num w:numId="13" w16cid:durableId="134834448">
    <w:abstractNumId w:val="13"/>
  </w:num>
  <w:num w:numId="14" w16cid:durableId="719138269">
    <w:abstractNumId w:val="8"/>
  </w:num>
  <w:num w:numId="15" w16cid:durableId="1208640237">
    <w:abstractNumId w:val="0"/>
  </w:num>
  <w:num w:numId="16" w16cid:durableId="546837402">
    <w:abstractNumId w:val="1"/>
  </w:num>
  <w:num w:numId="17" w16cid:durableId="213347496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RjZjY0OWU1OGU4MTBjZTlmYWVlMmVhZTY2OGJhZGEifQ=="/>
    <w:docVar w:name="EN.InstantFormat" w:val="&lt;ENInstantFormat&gt;&lt;Enabled&gt;1&lt;/Enabled&gt;&lt;ScanUnformatted&gt;1&lt;/ScanUnformatted&gt;&lt;ScanChanges&gt;1&lt;/ScanChanges&gt;&lt;Suspended&gt;0&lt;/Suspended&gt;&lt;/ENInstantFormat&gt;"/>
    <w:docVar w:name="EN.Layout" w:val="&lt;ENLayout&gt;&lt;Style&gt;博士学位论文参考文献格式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xdpxsaxowe90texfxhpxdacr5xs055f20ze&quot;&gt;My EndNote Library&lt;record-ids&gt;&lt;item&gt;72&lt;/item&gt;&lt;item&gt;74&lt;/item&gt;&lt;item&gt;138&lt;/item&gt;&lt;item&gt;190&lt;/item&gt;&lt;item&gt;191&lt;/item&gt;&lt;item&gt;192&lt;/item&gt;&lt;item&gt;193&lt;/item&gt;&lt;item&gt;194&lt;/item&gt;&lt;item&gt;196&lt;/item&gt;&lt;item&gt;197&lt;/item&gt;&lt;item&gt;198&lt;/item&gt;&lt;item&gt;199&lt;/item&gt;&lt;item&gt;200&lt;/item&gt;&lt;item&gt;201&lt;/item&gt;&lt;item&gt;202&lt;/item&gt;&lt;item&gt;204&lt;/item&gt;&lt;item&gt;206&lt;/item&gt;&lt;item&gt;207&lt;/item&gt;&lt;item&gt;208&lt;/item&gt;&lt;item&gt;209&lt;/item&gt;&lt;item&gt;211&lt;/item&gt;&lt;item&gt;212&lt;/item&gt;&lt;item&gt;213&lt;/item&gt;&lt;item&gt;214&lt;/item&gt;&lt;item&gt;215&lt;/item&gt;&lt;item&gt;216&lt;/item&gt;&lt;item&gt;218&lt;/item&gt;&lt;item&gt;220&lt;/item&gt;&lt;item&gt;221&lt;/item&gt;&lt;item&gt;222&lt;/item&gt;&lt;item&gt;223&lt;/item&gt;&lt;item&gt;224&lt;/item&gt;&lt;item&gt;225&lt;/item&gt;&lt;item&gt;226&lt;/item&gt;&lt;item&gt;228&lt;/item&gt;&lt;item&gt;230&lt;/item&gt;&lt;item&gt;231&lt;/item&gt;&lt;item&gt;232&lt;/item&gt;&lt;item&gt;233&lt;/item&gt;&lt;item&gt;234&lt;/item&gt;&lt;/record-ids&gt;&lt;/item&gt;&lt;/Libraries&gt;"/>
  </w:docVars>
  <w:rsids>
    <w:rsidRoot w:val="001E419B"/>
    <w:rsid w:val="00012CA7"/>
    <w:rsid w:val="00021B09"/>
    <w:rsid w:val="0003333E"/>
    <w:rsid w:val="00041368"/>
    <w:rsid w:val="00042925"/>
    <w:rsid w:val="000505EE"/>
    <w:rsid w:val="00063080"/>
    <w:rsid w:val="0007733A"/>
    <w:rsid w:val="00085BE4"/>
    <w:rsid w:val="00087956"/>
    <w:rsid w:val="000A15DF"/>
    <w:rsid w:val="000A3B15"/>
    <w:rsid w:val="000B7719"/>
    <w:rsid w:val="000C6DF6"/>
    <w:rsid w:val="000D278D"/>
    <w:rsid w:val="000D2DFC"/>
    <w:rsid w:val="000F063A"/>
    <w:rsid w:val="000F3B5D"/>
    <w:rsid w:val="00110D6D"/>
    <w:rsid w:val="00123B90"/>
    <w:rsid w:val="001336BD"/>
    <w:rsid w:val="001635A8"/>
    <w:rsid w:val="00196645"/>
    <w:rsid w:val="001A33F2"/>
    <w:rsid w:val="001A348B"/>
    <w:rsid w:val="001A5536"/>
    <w:rsid w:val="001A7023"/>
    <w:rsid w:val="001A767D"/>
    <w:rsid w:val="001B0045"/>
    <w:rsid w:val="001B1B35"/>
    <w:rsid w:val="001B1C6B"/>
    <w:rsid w:val="001B4DB7"/>
    <w:rsid w:val="001B7FC0"/>
    <w:rsid w:val="001C25A1"/>
    <w:rsid w:val="001E419B"/>
    <w:rsid w:val="001E7B12"/>
    <w:rsid w:val="001F0FC1"/>
    <w:rsid w:val="001F7089"/>
    <w:rsid w:val="002001CB"/>
    <w:rsid w:val="00200FEF"/>
    <w:rsid w:val="002062AD"/>
    <w:rsid w:val="002125BF"/>
    <w:rsid w:val="00214DA5"/>
    <w:rsid w:val="00216614"/>
    <w:rsid w:val="00226AA9"/>
    <w:rsid w:val="00230456"/>
    <w:rsid w:val="00237C4A"/>
    <w:rsid w:val="002460E5"/>
    <w:rsid w:val="00246166"/>
    <w:rsid w:val="0026349D"/>
    <w:rsid w:val="00277645"/>
    <w:rsid w:val="00296DE4"/>
    <w:rsid w:val="002A5A2E"/>
    <w:rsid w:val="002B2DC5"/>
    <w:rsid w:val="002B5377"/>
    <w:rsid w:val="002D311F"/>
    <w:rsid w:val="002D386D"/>
    <w:rsid w:val="002F092C"/>
    <w:rsid w:val="002F1D9E"/>
    <w:rsid w:val="002F70A5"/>
    <w:rsid w:val="00301F1A"/>
    <w:rsid w:val="003066FB"/>
    <w:rsid w:val="00313124"/>
    <w:rsid w:val="00315C75"/>
    <w:rsid w:val="00325054"/>
    <w:rsid w:val="0033264D"/>
    <w:rsid w:val="00335464"/>
    <w:rsid w:val="00350928"/>
    <w:rsid w:val="003519FA"/>
    <w:rsid w:val="00352248"/>
    <w:rsid w:val="003531A8"/>
    <w:rsid w:val="00362FCE"/>
    <w:rsid w:val="0036489B"/>
    <w:rsid w:val="00376C95"/>
    <w:rsid w:val="00381A32"/>
    <w:rsid w:val="003B177F"/>
    <w:rsid w:val="003C1ADE"/>
    <w:rsid w:val="003C5B69"/>
    <w:rsid w:val="003C60CC"/>
    <w:rsid w:val="003C7637"/>
    <w:rsid w:val="003D1A5B"/>
    <w:rsid w:val="003F026D"/>
    <w:rsid w:val="0040129F"/>
    <w:rsid w:val="00417D7A"/>
    <w:rsid w:val="00421A93"/>
    <w:rsid w:val="00421C69"/>
    <w:rsid w:val="00427CA9"/>
    <w:rsid w:val="004339DB"/>
    <w:rsid w:val="004347C7"/>
    <w:rsid w:val="00435687"/>
    <w:rsid w:val="00446C83"/>
    <w:rsid w:val="00464F0A"/>
    <w:rsid w:val="0047205C"/>
    <w:rsid w:val="004777CF"/>
    <w:rsid w:val="00483D43"/>
    <w:rsid w:val="004A761C"/>
    <w:rsid w:val="004C5987"/>
    <w:rsid w:val="004D240B"/>
    <w:rsid w:val="004D2A88"/>
    <w:rsid w:val="00504DFD"/>
    <w:rsid w:val="005222D0"/>
    <w:rsid w:val="00541D1A"/>
    <w:rsid w:val="005523E2"/>
    <w:rsid w:val="00563BF2"/>
    <w:rsid w:val="005836EB"/>
    <w:rsid w:val="0059217D"/>
    <w:rsid w:val="00592B04"/>
    <w:rsid w:val="00592E22"/>
    <w:rsid w:val="005A5F0A"/>
    <w:rsid w:val="005C0DE7"/>
    <w:rsid w:val="005C2705"/>
    <w:rsid w:val="005D35EA"/>
    <w:rsid w:val="005E03C8"/>
    <w:rsid w:val="005F0AA0"/>
    <w:rsid w:val="005F0EBB"/>
    <w:rsid w:val="005F16D8"/>
    <w:rsid w:val="005F254A"/>
    <w:rsid w:val="005F259B"/>
    <w:rsid w:val="005F72EF"/>
    <w:rsid w:val="005F7F07"/>
    <w:rsid w:val="006238A3"/>
    <w:rsid w:val="00627A94"/>
    <w:rsid w:val="0063112C"/>
    <w:rsid w:val="00643A0B"/>
    <w:rsid w:val="0064657C"/>
    <w:rsid w:val="006651C3"/>
    <w:rsid w:val="00666B51"/>
    <w:rsid w:val="006722B6"/>
    <w:rsid w:val="00673DEF"/>
    <w:rsid w:val="00673EDA"/>
    <w:rsid w:val="006745EB"/>
    <w:rsid w:val="0067461A"/>
    <w:rsid w:val="006769A6"/>
    <w:rsid w:val="00677BBA"/>
    <w:rsid w:val="00686F8F"/>
    <w:rsid w:val="006947C3"/>
    <w:rsid w:val="006B4E0C"/>
    <w:rsid w:val="006B5705"/>
    <w:rsid w:val="006B7217"/>
    <w:rsid w:val="006C431E"/>
    <w:rsid w:val="006D0267"/>
    <w:rsid w:val="006D681D"/>
    <w:rsid w:val="006E7C5B"/>
    <w:rsid w:val="007062B8"/>
    <w:rsid w:val="00720689"/>
    <w:rsid w:val="00746D30"/>
    <w:rsid w:val="0075623A"/>
    <w:rsid w:val="0077126A"/>
    <w:rsid w:val="00777339"/>
    <w:rsid w:val="0079536D"/>
    <w:rsid w:val="0079653F"/>
    <w:rsid w:val="007A1471"/>
    <w:rsid w:val="007A210A"/>
    <w:rsid w:val="007A3BB9"/>
    <w:rsid w:val="007A48F4"/>
    <w:rsid w:val="007B03E0"/>
    <w:rsid w:val="007B71E1"/>
    <w:rsid w:val="007C0732"/>
    <w:rsid w:val="007D16C7"/>
    <w:rsid w:val="00810B9B"/>
    <w:rsid w:val="00821625"/>
    <w:rsid w:val="00821A17"/>
    <w:rsid w:val="00822458"/>
    <w:rsid w:val="00824393"/>
    <w:rsid w:val="00852031"/>
    <w:rsid w:val="008A5068"/>
    <w:rsid w:val="008A542D"/>
    <w:rsid w:val="008A663F"/>
    <w:rsid w:val="008B1A0C"/>
    <w:rsid w:val="008B30AF"/>
    <w:rsid w:val="008B4BF0"/>
    <w:rsid w:val="008B64AB"/>
    <w:rsid w:val="008C492F"/>
    <w:rsid w:val="008C7F33"/>
    <w:rsid w:val="008D3FD7"/>
    <w:rsid w:val="008D42C0"/>
    <w:rsid w:val="008E1CAB"/>
    <w:rsid w:val="008E63F2"/>
    <w:rsid w:val="008F1241"/>
    <w:rsid w:val="008F4201"/>
    <w:rsid w:val="009050E9"/>
    <w:rsid w:val="00905A7A"/>
    <w:rsid w:val="00916600"/>
    <w:rsid w:val="009247B1"/>
    <w:rsid w:val="00944FC0"/>
    <w:rsid w:val="009516E0"/>
    <w:rsid w:val="009529C5"/>
    <w:rsid w:val="009606E8"/>
    <w:rsid w:val="009652D3"/>
    <w:rsid w:val="00976AAB"/>
    <w:rsid w:val="00980B87"/>
    <w:rsid w:val="00983427"/>
    <w:rsid w:val="00992796"/>
    <w:rsid w:val="00997C4C"/>
    <w:rsid w:val="009A203A"/>
    <w:rsid w:val="009B16C6"/>
    <w:rsid w:val="009B5E17"/>
    <w:rsid w:val="009C4CEE"/>
    <w:rsid w:val="009E18EB"/>
    <w:rsid w:val="009E43F0"/>
    <w:rsid w:val="009E4AC3"/>
    <w:rsid w:val="009F0EEF"/>
    <w:rsid w:val="00A00540"/>
    <w:rsid w:val="00A07575"/>
    <w:rsid w:val="00A07879"/>
    <w:rsid w:val="00A30EDF"/>
    <w:rsid w:val="00A363BC"/>
    <w:rsid w:val="00A4558F"/>
    <w:rsid w:val="00A47880"/>
    <w:rsid w:val="00A5341E"/>
    <w:rsid w:val="00A53EB0"/>
    <w:rsid w:val="00A55307"/>
    <w:rsid w:val="00A617B3"/>
    <w:rsid w:val="00A87A12"/>
    <w:rsid w:val="00AB5FAA"/>
    <w:rsid w:val="00AC31CB"/>
    <w:rsid w:val="00AD193C"/>
    <w:rsid w:val="00AD7B39"/>
    <w:rsid w:val="00AE1CA5"/>
    <w:rsid w:val="00AF2F22"/>
    <w:rsid w:val="00B10A8A"/>
    <w:rsid w:val="00B31812"/>
    <w:rsid w:val="00B414C6"/>
    <w:rsid w:val="00B425D6"/>
    <w:rsid w:val="00B56A78"/>
    <w:rsid w:val="00B6630E"/>
    <w:rsid w:val="00B6648D"/>
    <w:rsid w:val="00B66E5D"/>
    <w:rsid w:val="00B8178E"/>
    <w:rsid w:val="00B82B87"/>
    <w:rsid w:val="00B83448"/>
    <w:rsid w:val="00B8705A"/>
    <w:rsid w:val="00B930E2"/>
    <w:rsid w:val="00BA0335"/>
    <w:rsid w:val="00BA2BD5"/>
    <w:rsid w:val="00BA304C"/>
    <w:rsid w:val="00BA708F"/>
    <w:rsid w:val="00BB1E30"/>
    <w:rsid w:val="00BB5924"/>
    <w:rsid w:val="00BD6301"/>
    <w:rsid w:val="00BF495A"/>
    <w:rsid w:val="00C048EF"/>
    <w:rsid w:val="00C10BE0"/>
    <w:rsid w:val="00C1281C"/>
    <w:rsid w:val="00C219B0"/>
    <w:rsid w:val="00C22F88"/>
    <w:rsid w:val="00C57DA2"/>
    <w:rsid w:val="00C60488"/>
    <w:rsid w:val="00C612F5"/>
    <w:rsid w:val="00C70968"/>
    <w:rsid w:val="00CB203D"/>
    <w:rsid w:val="00CB396F"/>
    <w:rsid w:val="00CB3BAB"/>
    <w:rsid w:val="00CC5736"/>
    <w:rsid w:val="00CD0344"/>
    <w:rsid w:val="00CD6B7A"/>
    <w:rsid w:val="00CF272E"/>
    <w:rsid w:val="00CF6D02"/>
    <w:rsid w:val="00D00896"/>
    <w:rsid w:val="00D034BC"/>
    <w:rsid w:val="00D14226"/>
    <w:rsid w:val="00D1658B"/>
    <w:rsid w:val="00D2779D"/>
    <w:rsid w:val="00D324FE"/>
    <w:rsid w:val="00D328BB"/>
    <w:rsid w:val="00D341CB"/>
    <w:rsid w:val="00D45D9E"/>
    <w:rsid w:val="00D47AEE"/>
    <w:rsid w:val="00D51875"/>
    <w:rsid w:val="00D617D9"/>
    <w:rsid w:val="00D843B9"/>
    <w:rsid w:val="00DA5A65"/>
    <w:rsid w:val="00DA69AE"/>
    <w:rsid w:val="00DB50A2"/>
    <w:rsid w:val="00DC3A40"/>
    <w:rsid w:val="00DC53F4"/>
    <w:rsid w:val="00DD5C48"/>
    <w:rsid w:val="00DD6725"/>
    <w:rsid w:val="00DF1E55"/>
    <w:rsid w:val="00E06CA5"/>
    <w:rsid w:val="00E10116"/>
    <w:rsid w:val="00E11FF0"/>
    <w:rsid w:val="00E15E11"/>
    <w:rsid w:val="00E202A5"/>
    <w:rsid w:val="00E22223"/>
    <w:rsid w:val="00E322AF"/>
    <w:rsid w:val="00E342F6"/>
    <w:rsid w:val="00E6622A"/>
    <w:rsid w:val="00E87A9C"/>
    <w:rsid w:val="00EB54D2"/>
    <w:rsid w:val="00EC76FB"/>
    <w:rsid w:val="00EC7D4E"/>
    <w:rsid w:val="00ED18A2"/>
    <w:rsid w:val="00ED40A3"/>
    <w:rsid w:val="00ED6225"/>
    <w:rsid w:val="00EE2F2B"/>
    <w:rsid w:val="00EE4A81"/>
    <w:rsid w:val="00EF43CF"/>
    <w:rsid w:val="00EF4536"/>
    <w:rsid w:val="00EF6EA3"/>
    <w:rsid w:val="00EF7B80"/>
    <w:rsid w:val="00F01DD0"/>
    <w:rsid w:val="00F125E2"/>
    <w:rsid w:val="00F13095"/>
    <w:rsid w:val="00F1422D"/>
    <w:rsid w:val="00F364B7"/>
    <w:rsid w:val="00F40620"/>
    <w:rsid w:val="00F40D27"/>
    <w:rsid w:val="00F41F1E"/>
    <w:rsid w:val="00F57CE3"/>
    <w:rsid w:val="00F856A0"/>
    <w:rsid w:val="00F86B28"/>
    <w:rsid w:val="00F91BDD"/>
    <w:rsid w:val="00FB2E48"/>
    <w:rsid w:val="00FB5412"/>
    <w:rsid w:val="00FB76F1"/>
    <w:rsid w:val="00FC0EE9"/>
    <w:rsid w:val="00FC1DE7"/>
    <w:rsid w:val="00FD3EF5"/>
    <w:rsid w:val="00FE3E3E"/>
    <w:rsid w:val="00FF5EA2"/>
    <w:rsid w:val="00FF7B4E"/>
    <w:rsid w:val="076A2E34"/>
    <w:rsid w:val="0DFE6020"/>
    <w:rsid w:val="0FF812B4"/>
    <w:rsid w:val="10030E6B"/>
    <w:rsid w:val="19475ADD"/>
    <w:rsid w:val="1A197A96"/>
    <w:rsid w:val="1B6A6DDC"/>
    <w:rsid w:val="1F9B3166"/>
    <w:rsid w:val="20D214CB"/>
    <w:rsid w:val="26FD4E48"/>
    <w:rsid w:val="298D2274"/>
    <w:rsid w:val="2BD15BB2"/>
    <w:rsid w:val="2DF43940"/>
    <w:rsid w:val="3A4F0A7A"/>
    <w:rsid w:val="475F0A45"/>
    <w:rsid w:val="49B857D0"/>
    <w:rsid w:val="4F09485E"/>
    <w:rsid w:val="525F42B4"/>
    <w:rsid w:val="59A85B3F"/>
    <w:rsid w:val="5A4936AC"/>
    <w:rsid w:val="6A264BD0"/>
    <w:rsid w:val="6AC33697"/>
    <w:rsid w:val="74CD09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5D1848B"/>
  <w15:docId w15:val="{5755C100-563C-4262-9831-2144A1FFA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pPr>
    <w:rPr>
      <w:rFonts w:ascii="宋体" w:hAnsi="宋体"/>
      <w:b/>
      <w:sz w:val="32"/>
      <w:szCs w:val="32"/>
    </w:rPr>
  </w:style>
  <w:style w:type="paragraph" w:styleId="a5">
    <w:name w:val="Balloon Text"/>
    <w:basedOn w:val="a"/>
    <w:link w:val="a6"/>
    <w:qFormat/>
    <w:rPr>
      <w:sz w:val="18"/>
      <w:szCs w:val="18"/>
    </w:r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Subtitle"/>
    <w:basedOn w:val="a"/>
    <w:next w:val="a"/>
    <w:link w:val="ac"/>
    <w:qFormat/>
    <w:pPr>
      <w:spacing w:before="240" w:after="60" w:line="312" w:lineRule="auto"/>
      <w:jc w:val="left"/>
      <w:outlineLvl w:val="1"/>
    </w:pPr>
    <w:rPr>
      <w:rFonts w:cstheme="minorBidi"/>
      <w:b/>
      <w:bCs/>
      <w:kern w:val="28"/>
      <w:sz w:val="24"/>
      <w:szCs w:val="32"/>
    </w:rPr>
  </w:style>
  <w:style w:type="table" w:styleId="ad">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nhideWhenUsed/>
    <w:qFormat/>
    <w:rPr>
      <w:color w:val="0563C1" w:themeColor="hyperlink"/>
      <w:u w:val="single"/>
    </w:rPr>
  </w:style>
  <w:style w:type="character" w:customStyle="1" w:styleId="a4">
    <w:name w:val="日期 字符"/>
    <w:basedOn w:val="a0"/>
    <w:link w:val="a3"/>
    <w:qFormat/>
    <w:rPr>
      <w:rFonts w:ascii="宋体" w:eastAsia="宋体" w:hAnsi="宋体"/>
      <w:b/>
      <w:kern w:val="2"/>
      <w:sz w:val="32"/>
      <w:szCs w:val="32"/>
      <w:lang w:val="en-US" w:eastAsia="zh-CN" w:bidi="ar-SA"/>
    </w:rPr>
  </w:style>
  <w:style w:type="character" w:customStyle="1" w:styleId="aa">
    <w:name w:val="页眉 字符"/>
    <w:basedOn w:val="a0"/>
    <w:link w:val="a9"/>
    <w:qFormat/>
    <w:rPr>
      <w:kern w:val="2"/>
      <w:sz w:val="18"/>
      <w:szCs w:val="18"/>
    </w:rPr>
  </w:style>
  <w:style w:type="character" w:customStyle="1" w:styleId="a8">
    <w:name w:val="页脚 字符"/>
    <w:basedOn w:val="a0"/>
    <w:link w:val="a7"/>
    <w:qFormat/>
    <w:rPr>
      <w:kern w:val="2"/>
      <w:sz w:val="18"/>
      <w:szCs w:val="18"/>
    </w:rPr>
  </w:style>
  <w:style w:type="paragraph" w:styleId="af">
    <w:name w:val="List Paragraph"/>
    <w:basedOn w:val="a"/>
    <w:link w:val="af0"/>
    <w:uiPriority w:val="99"/>
    <w:qFormat/>
    <w:pPr>
      <w:ind w:firstLineChars="200" w:firstLine="420"/>
    </w:pPr>
  </w:style>
  <w:style w:type="character" w:customStyle="1" w:styleId="a6">
    <w:name w:val="批注框文本 字符"/>
    <w:basedOn w:val="a0"/>
    <w:link w:val="a5"/>
    <w:qFormat/>
    <w:rPr>
      <w:kern w:val="2"/>
      <w:sz w:val="18"/>
      <w:szCs w:val="18"/>
    </w:rPr>
  </w:style>
  <w:style w:type="character" w:customStyle="1" w:styleId="af0">
    <w:name w:val="列表段落 字符"/>
    <w:basedOn w:val="a0"/>
    <w:link w:val="af"/>
    <w:uiPriority w:val="99"/>
    <w:qFormat/>
    <w:rPr>
      <w:kern w:val="2"/>
      <w:sz w:val="21"/>
      <w:szCs w:val="24"/>
    </w:rPr>
  </w:style>
  <w:style w:type="paragraph" w:customStyle="1" w:styleId="EndNoteBibliography">
    <w:name w:val="EndNote Bibliography"/>
    <w:basedOn w:val="a"/>
    <w:link w:val="EndNoteBibliography0"/>
    <w:qFormat/>
    <w:rPr>
      <w:rFonts w:ascii="Calibri" w:eastAsiaTheme="minorEastAsia" w:hAnsi="Calibri" w:cs="Calibri"/>
      <w:sz w:val="20"/>
    </w:rPr>
  </w:style>
  <w:style w:type="character" w:customStyle="1" w:styleId="EndNoteBibliography0">
    <w:name w:val="EndNote Bibliography 字符"/>
    <w:basedOn w:val="a0"/>
    <w:link w:val="EndNoteBibliography"/>
    <w:qFormat/>
    <w:rPr>
      <w:rFonts w:ascii="Calibri" w:eastAsiaTheme="minorEastAsia" w:hAnsi="Calibri" w:cs="Calibri"/>
      <w:kern w:val="2"/>
      <w:szCs w:val="24"/>
    </w:rPr>
  </w:style>
  <w:style w:type="paragraph" w:customStyle="1" w:styleId="AMDisplayEquation">
    <w:name w:val="AMDisplayEquation"/>
    <w:basedOn w:val="af"/>
    <w:next w:val="a"/>
    <w:link w:val="AMDisplayEquation0"/>
    <w:qFormat/>
    <w:pPr>
      <w:tabs>
        <w:tab w:val="center" w:pos="4480"/>
        <w:tab w:val="right" w:pos="8300"/>
      </w:tabs>
      <w:ind w:left="675" w:firstLineChars="0" w:firstLine="0"/>
    </w:pPr>
    <w:rPr>
      <w:rFonts w:asciiTheme="minorHAnsi" w:eastAsiaTheme="minorEastAsia" w:hAnsiTheme="minorHAnsi" w:cstheme="minorBidi"/>
    </w:rPr>
  </w:style>
  <w:style w:type="character" w:customStyle="1" w:styleId="AMDisplayEquation0">
    <w:name w:val="AMDisplayEquation 字符"/>
    <w:basedOn w:val="af0"/>
    <w:link w:val="AMDisplayEquation"/>
    <w:qFormat/>
    <w:rPr>
      <w:rFonts w:asciiTheme="minorHAnsi" w:eastAsiaTheme="minorEastAsia" w:hAnsiTheme="minorHAnsi" w:cstheme="minorBidi"/>
      <w:kern w:val="2"/>
      <w:sz w:val="21"/>
      <w:szCs w:val="24"/>
    </w:rPr>
  </w:style>
  <w:style w:type="paragraph" w:customStyle="1" w:styleId="EndNoteBibliographyTitle">
    <w:name w:val="EndNote Bibliography Title"/>
    <w:basedOn w:val="a"/>
    <w:link w:val="EndNoteBibliographyTitle0"/>
    <w:qFormat/>
    <w:pPr>
      <w:jc w:val="center"/>
    </w:pPr>
    <w:rPr>
      <w:rFonts w:ascii="Calibri" w:hAnsi="Calibri" w:cs="Calibri"/>
      <w:sz w:val="20"/>
    </w:rPr>
  </w:style>
  <w:style w:type="character" w:customStyle="1" w:styleId="EndNoteBibliographyTitle0">
    <w:name w:val="EndNote Bibliography Title 字符"/>
    <w:basedOn w:val="a0"/>
    <w:link w:val="EndNoteBibliographyTitle"/>
    <w:qFormat/>
    <w:rPr>
      <w:rFonts w:ascii="Calibri" w:hAnsi="Calibri" w:cs="Calibri"/>
      <w:kern w:val="2"/>
      <w:szCs w:val="24"/>
    </w:rPr>
  </w:style>
  <w:style w:type="character" w:customStyle="1" w:styleId="1">
    <w:name w:val="未处理的提及1"/>
    <w:basedOn w:val="a0"/>
    <w:uiPriority w:val="99"/>
    <w:semiHidden/>
    <w:unhideWhenUsed/>
    <w:qFormat/>
    <w:rPr>
      <w:color w:val="605E5C"/>
      <w:shd w:val="clear" w:color="auto" w:fill="E1DFDD"/>
    </w:rPr>
  </w:style>
  <w:style w:type="character" w:customStyle="1" w:styleId="src-views-interactivetranslation-components-paneltarget--content-sentencevisnx">
    <w:name w:val="src-views-interactivetranslation-components-paneltarget--content-sentence__visnx"/>
    <w:basedOn w:val="a0"/>
    <w:qFormat/>
  </w:style>
  <w:style w:type="character" w:customStyle="1" w:styleId="contentpasted1">
    <w:name w:val="contentpasted1"/>
    <w:basedOn w:val="a0"/>
    <w:qFormat/>
  </w:style>
  <w:style w:type="paragraph" w:customStyle="1" w:styleId="af1">
    <w:name w:val="大创标题"/>
    <w:basedOn w:val="a"/>
    <w:link w:val="af2"/>
    <w:qFormat/>
    <w:rPr>
      <w:b/>
      <w:bCs/>
      <w:sz w:val="28"/>
    </w:rPr>
  </w:style>
  <w:style w:type="character" w:customStyle="1" w:styleId="af2">
    <w:name w:val="大创标题 字符"/>
    <w:basedOn w:val="a0"/>
    <w:link w:val="af1"/>
    <w:qFormat/>
    <w:rPr>
      <w:b/>
      <w:bCs/>
      <w:kern w:val="2"/>
      <w:sz w:val="28"/>
      <w:szCs w:val="24"/>
    </w:rPr>
  </w:style>
  <w:style w:type="character" w:customStyle="1" w:styleId="ac">
    <w:name w:val="副标题 字符"/>
    <w:basedOn w:val="a0"/>
    <w:link w:val="ab"/>
    <w:qFormat/>
    <w:rPr>
      <w:rFonts w:cstheme="minorBidi"/>
      <w:b/>
      <w:bCs/>
      <w:kern w:val="28"/>
      <w:sz w:val="24"/>
      <w:szCs w:val="32"/>
    </w:rPr>
  </w:style>
  <w:style w:type="paragraph" w:customStyle="1" w:styleId="dachuang3">
    <w:name w:val="dachuang3"/>
    <w:basedOn w:val="ab"/>
    <w:link w:val="dachuang30"/>
    <w:qFormat/>
    <w:pPr>
      <w:numPr>
        <w:numId w:val="1"/>
      </w:numPr>
    </w:pPr>
  </w:style>
  <w:style w:type="character" w:customStyle="1" w:styleId="dachuang30">
    <w:name w:val="dachuang3 字符"/>
    <w:basedOn w:val="ac"/>
    <w:link w:val="dachuang3"/>
    <w:qFormat/>
    <w:rPr>
      <w:rFonts w:cstheme="minorBidi"/>
      <w:b/>
      <w:bCs/>
      <w:kern w:val="28"/>
      <w:sz w:val="24"/>
      <w:szCs w:val="32"/>
    </w:rPr>
  </w:style>
  <w:style w:type="character" w:customStyle="1" w:styleId="2">
    <w:name w:val="未处理的提及2"/>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117" Type="http://schemas.openxmlformats.org/officeDocument/2006/relationships/image" Target="media/image63.wmf"/><Relationship Id="rId21" Type="http://schemas.openxmlformats.org/officeDocument/2006/relationships/oleObject" Target="embeddings/oleObject2.bin"/><Relationship Id="rId42" Type="http://schemas.openxmlformats.org/officeDocument/2006/relationships/oleObject" Target="embeddings/oleObject13.bin"/><Relationship Id="rId47" Type="http://schemas.openxmlformats.org/officeDocument/2006/relationships/image" Target="media/image26.wmf"/><Relationship Id="rId63" Type="http://schemas.openxmlformats.org/officeDocument/2006/relationships/image" Target="media/image35.wmf"/><Relationship Id="rId68" Type="http://schemas.openxmlformats.org/officeDocument/2006/relationships/oleObject" Target="embeddings/oleObject25.bin"/><Relationship Id="rId84" Type="http://schemas.openxmlformats.org/officeDocument/2006/relationships/image" Target="media/image46.wmf"/><Relationship Id="rId89" Type="http://schemas.openxmlformats.org/officeDocument/2006/relationships/image" Target="media/image49.wmf"/><Relationship Id="rId112" Type="http://schemas.openxmlformats.org/officeDocument/2006/relationships/oleObject" Target="embeddings/oleObject46.bin"/><Relationship Id="rId16" Type="http://schemas.openxmlformats.org/officeDocument/2006/relationships/image" Target="media/image10.png"/><Relationship Id="rId107" Type="http://schemas.openxmlformats.org/officeDocument/2006/relationships/image" Target="media/image58.wmf"/><Relationship Id="rId11" Type="http://schemas.openxmlformats.org/officeDocument/2006/relationships/image" Target="media/image5.png"/><Relationship Id="rId32" Type="http://schemas.openxmlformats.org/officeDocument/2006/relationships/image" Target="media/image19.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32.png"/><Relationship Id="rId74" Type="http://schemas.openxmlformats.org/officeDocument/2006/relationships/oleObject" Target="embeddings/oleObject28.bin"/><Relationship Id="rId79" Type="http://schemas.openxmlformats.org/officeDocument/2006/relationships/oleObject" Target="embeddings/oleObject30.bin"/><Relationship Id="rId102" Type="http://schemas.openxmlformats.org/officeDocument/2006/relationships/oleObject" Target="embeddings/oleObject41.bin"/><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4.wmf"/><Relationship Id="rId82" Type="http://schemas.openxmlformats.org/officeDocument/2006/relationships/image" Target="media/image45.wmf"/><Relationship Id="rId90" Type="http://schemas.openxmlformats.org/officeDocument/2006/relationships/oleObject" Target="embeddings/oleObject35.bin"/><Relationship Id="rId95" Type="http://schemas.openxmlformats.org/officeDocument/2006/relationships/oleObject" Target="embeddings/oleObject38.bin"/><Relationship Id="rId19" Type="http://schemas.openxmlformats.org/officeDocument/2006/relationships/oleObject" Target="embeddings/oleObject1.bin"/><Relationship Id="rId14" Type="http://schemas.openxmlformats.org/officeDocument/2006/relationships/image" Target="media/image8.jpeg"/><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image" Target="media/image18.wmf"/><Relationship Id="rId35" Type="http://schemas.openxmlformats.org/officeDocument/2006/relationships/oleObject" Target="embeddings/oleObject9.bin"/><Relationship Id="rId43" Type="http://schemas.openxmlformats.org/officeDocument/2006/relationships/image" Target="media/image24.wmf"/><Relationship Id="rId48" Type="http://schemas.openxmlformats.org/officeDocument/2006/relationships/oleObject" Target="embeddings/oleObject16.bin"/><Relationship Id="rId56" Type="http://schemas.openxmlformats.org/officeDocument/2006/relationships/image" Target="media/image31.wmf"/><Relationship Id="rId64" Type="http://schemas.openxmlformats.org/officeDocument/2006/relationships/oleObject" Target="embeddings/oleObject23.bin"/><Relationship Id="rId69" Type="http://schemas.openxmlformats.org/officeDocument/2006/relationships/image" Target="media/image38.wmf"/><Relationship Id="rId77" Type="http://schemas.openxmlformats.org/officeDocument/2006/relationships/oleObject" Target="embeddings/oleObject29.bin"/><Relationship Id="rId100" Type="http://schemas.openxmlformats.org/officeDocument/2006/relationships/oleObject" Target="embeddings/oleObject40.bin"/><Relationship Id="rId105" Type="http://schemas.openxmlformats.org/officeDocument/2006/relationships/image" Target="media/image57.wmf"/><Relationship Id="rId113" Type="http://schemas.openxmlformats.org/officeDocument/2006/relationships/image" Target="media/image61.wmf"/><Relationship Id="rId118" Type="http://schemas.openxmlformats.org/officeDocument/2006/relationships/oleObject" Target="embeddings/oleObject49.bin"/><Relationship Id="rId8" Type="http://schemas.openxmlformats.org/officeDocument/2006/relationships/hyperlink" Target="mailto:Lvzhibin2016@163.com" TargetMode="External"/><Relationship Id="rId51" Type="http://schemas.openxmlformats.org/officeDocument/2006/relationships/oleObject" Target="embeddings/oleObject17.bin"/><Relationship Id="rId72" Type="http://schemas.openxmlformats.org/officeDocument/2006/relationships/oleObject" Target="embeddings/oleObject27.bin"/><Relationship Id="rId80" Type="http://schemas.openxmlformats.org/officeDocument/2006/relationships/image" Target="media/image44.wmf"/><Relationship Id="rId85" Type="http://schemas.openxmlformats.org/officeDocument/2006/relationships/oleObject" Target="embeddings/oleObject33.bin"/><Relationship Id="rId93" Type="http://schemas.openxmlformats.org/officeDocument/2006/relationships/oleObject" Target="embeddings/oleObject37.bin"/><Relationship Id="rId98" Type="http://schemas.openxmlformats.org/officeDocument/2006/relationships/oleObject" Target="embeddings/oleObject39.bin"/><Relationship Id="rId121" Type="http://schemas.openxmlformats.org/officeDocument/2006/relationships/image" Target="media/image65.wmf"/><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22.wmf"/><Relationship Id="rId46" Type="http://schemas.openxmlformats.org/officeDocument/2006/relationships/oleObject" Target="embeddings/oleObject15.bin"/><Relationship Id="rId59" Type="http://schemas.openxmlformats.org/officeDocument/2006/relationships/image" Target="media/image33.wmf"/><Relationship Id="rId67" Type="http://schemas.openxmlformats.org/officeDocument/2006/relationships/image" Target="media/image37.wmf"/><Relationship Id="rId103" Type="http://schemas.openxmlformats.org/officeDocument/2006/relationships/image" Target="media/image56.wmf"/><Relationship Id="rId108" Type="http://schemas.openxmlformats.org/officeDocument/2006/relationships/oleObject" Target="embeddings/oleObject44.bin"/><Relationship Id="rId116" Type="http://schemas.openxmlformats.org/officeDocument/2006/relationships/oleObject" Target="embeddings/oleObject48.bin"/><Relationship Id="rId124" Type="http://schemas.openxmlformats.org/officeDocument/2006/relationships/theme" Target="theme/theme1.xml"/><Relationship Id="rId20" Type="http://schemas.openxmlformats.org/officeDocument/2006/relationships/image" Target="media/image13.wmf"/><Relationship Id="rId41" Type="http://schemas.openxmlformats.org/officeDocument/2006/relationships/oleObject" Target="embeddings/oleObject12.bin"/><Relationship Id="rId54" Type="http://schemas.openxmlformats.org/officeDocument/2006/relationships/image" Target="media/image30.wmf"/><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41.jpeg"/><Relationship Id="rId83" Type="http://schemas.openxmlformats.org/officeDocument/2006/relationships/oleObject" Target="embeddings/oleObject32.bin"/><Relationship Id="rId88" Type="http://schemas.openxmlformats.org/officeDocument/2006/relationships/oleObject" Target="embeddings/oleObject34.bin"/><Relationship Id="rId91" Type="http://schemas.openxmlformats.org/officeDocument/2006/relationships/image" Target="media/image50.wmf"/><Relationship Id="rId96" Type="http://schemas.openxmlformats.org/officeDocument/2006/relationships/image" Target="media/image52.jpeg"/><Relationship Id="rId111" Type="http://schemas.openxmlformats.org/officeDocument/2006/relationships/image" Target="media/image60.wmf"/><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image" Target="media/image17.wmf"/><Relationship Id="rId36" Type="http://schemas.openxmlformats.org/officeDocument/2006/relationships/image" Target="media/image21.wmf"/><Relationship Id="rId49" Type="http://schemas.openxmlformats.org/officeDocument/2006/relationships/image" Target="media/image27.jpeg"/><Relationship Id="rId57" Type="http://schemas.openxmlformats.org/officeDocument/2006/relationships/oleObject" Target="embeddings/oleObject20.bin"/><Relationship Id="rId106" Type="http://schemas.openxmlformats.org/officeDocument/2006/relationships/oleObject" Target="embeddings/oleObject43.bin"/><Relationship Id="rId114" Type="http://schemas.openxmlformats.org/officeDocument/2006/relationships/oleObject" Target="embeddings/oleObject47.bin"/><Relationship Id="rId119" Type="http://schemas.openxmlformats.org/officeDocument/2006/relationships/image" Target="media/image64.wmf"/><Relationship Id="rId10" Type="http://schemas.openxmlformats.org/officeDocument/2006/relationships/image" Target="media/image4.webp"/><Relationship Id="rId31" Type="http://schemas.openxmlformats.org/officeDocument/2006/relationships/oleObject" Target="embeddings/oleObject7.bin"/><Relationship Id="rId44" Type="http://schemas.openxmlformats.org/officeDocument/2006/relationships/oleObject" Target="embeddings/oleObject14.bin"/><Relationship Id="rId52" Type="http://schemas.openxmlformats.org/officeDocument/2006/relationships/image" Target="media/image29.wmf"/><Relationship Id="rId60" Type="http://schemas.openxmlformats.org/officeDocument/2006/relationships/oleObject" Target="embeddings/oleObject21.bin"/><Relationship Id="rId65" Type="http://schemas.openxmlformats.org/officeDocument/2006/relationships/image" Target="media/image36.wmf"/><Relationship Id="rId73" Type="http://schemas.openxmlformats.org/officeDocument/2006/relationships/image" Target="media/image40.wmf"/><Relationship Id="rId78" Type="http://schemas.openxmlformats.org/officeDocument/2006/relationships/image" Target="media/image43.wmf"/><Relationship Id="rId81" Type="http://schemas.openxmlformats.org/officeDocument/2006/relationships/oleObject" Target="embeddings/oleObject31.bin"/><Relationship Id="rId86" Type="http://schemas.openxmlformats.org/officeDocument/2006/relationships/image" Target="media/image47.jpeg"/><Relationship Id="rId94" Type="http://schemas.openxmlformats.org/officeDocument/2006/relationships/image" Target="media/image51.wmf"/><Relationship Id="rId99" Type="http://schemas.openxmlformats.org/officeDocument/2006/relationships/image" Target="media/image54.wmf"/><Relationship Id="rId101" Type="http://schemas.openxmlformats.org/officeDocument/2006/relationships/image" Target="media/image55.wmf"/><Relationship Id="rId122" Type="http://schemas.openxmlformats.org/officeDocument/2006/relationships/oleObject" Target="embeddings/oleObject51.bin"/><Relationship Id="rId4" Type="http://schemas.openxmlformats.org/officeDocument/2006/relationships/settings" Target="settings.xml"/><Relationship Id="rId9" Type="http://schemas.openxmlformats.org/officeDocument/2006/relationships/image" Target="media/image3.webp"/><Relationship Id="rId13" Type="http://schemas.openxmlformats.org/officeDocument/2006/relationships/image" Target="media/image7.jpeg"/><Relationship Id="rId18" Type="http://schemas.openxmlformats.org/officeDocument/2006/relationships/image" Target="media/image12.wmf"/><Relationship Id="rId39" Type="http://schemas.openxmlformats.org/officeDocument/2006/relationships/oleObject" Target="embeddings/oleObject11.bin"/><Relationship Id="rId109" Type="http://schemas.openxmlformats.org/officeDocument/2006/relationships/image" Target="media/image59.wmf"/><Relationship Id="rId34" Type="http://schemas.openxmlformats.org/officeDocument/2006/relationships/image" Target="media/image20.wmf"/><Relationship Id="rId50" Type="http://schemas.openxmlformats.org/officeDocument/2006/relationships/image" Target="media/image28.wmf"/><Relationship Id="rId55" Type="http://schemas.openxmlformats.org/officeDocument/2006/relationships/oleObject" Target="embeddings/oleObject19.bin"/><Relationship Id="rId76" Type="http://schemas.openxmlformats.org/officeDocument/2006/relationships/image" Target="media/image42.wmf"/><Relationship Id="rId97" Type="http://schemas.openxmlformats.org/officeDocument/2006/relationships/image" Target="media/image53.wmf"/><Relationship Id="rId104" Type="http://schemas.openxmlformats.org/officeDocument/2006/relationships/oleObject" Target="embeddings/oleObject42.bin"/><Relationship Id="rId120" Type="http://schemas.openxmlformats.org/officeDocument/2006/relationships/oleObject" Target="embeddings/oleObject50.bin"/><Relationship Id="rId7" Type="http://schemas.openxmlformats.org/officeDocument/2006/relationships/image" Target="media/image2.png"/><Relationship Id="rId71" Type="http://schemas.openxmlformats.org/officeDocument/2006/relationships/image" Target="media/image39.wmf"/><Relationship Id="rId92" Type="http://schemas.openxmlformats.org/officeDocument/2006/relationships/oleObject" Target="embeddings/oleObject36.bin"/><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15.wmf"/><Relationship Id="rId40" Type="http://schemas.openxmlformats.org/officeDocument/2006/relationships/image" Target="media/image23.wmf"/><Relationship Id="rId45" Type="http://schemas.openxmlformats.org/officeDocument/2006/relationships/image" Target="media/image25.wmf"/><Relationship Id="rId66" Type="http://schemas.openxmlformats.org/officeDocument/2006/relationships/oleObject" Target="embeddings/oleObject24.bin"/><Relationship Id="rId87" Type="http://schemas.openxmlformats.org/officeDocument/2006/relationships/image" Target="media/image48.wmf"/><Relationship Id="rId110" Type="http://schemas.openxmlformats.org/officeDocument/2006/relationships/oleObject" Target="embeddings/oleObject45.bin"/><Relationship Id="rId115" Type="http://schemas.openxmlformats.org/officeDocument/2006/relationships/image" Target="media/image62.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386077-39B0-459B-B4B7-1CC6533A8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33</Pages>
  <Words>11267</Words>
  <Characters>64228</Characters>
  <Application>Microsoft Office Word</Application>
  <DocSecurity>0</DocSecurity>
  <Lines>535</Lines>
  <Paragraphs>150</Paragraphs>
  <ScaleCrop>false</ScaleCrop>
  <Company>China</Company>
  <LinksUpToDate>false</LinksUpToDate>
  <CharactersWithSpaces>75345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四川大学</dc:title>
  <dc:creator>User</dc:creator>
  <cp:lastModifiedBy>Ma Shuhan</cp:lastModifiedBy>
  <cp:revision>21</cp:revision>
  <cp:lastPrinted>2022-11-17T22:51:00Z</cp:lastPrinted>
  <dcterms:created xsi:type="dcterms:W3CDTF">2022-11-09T06:38:00Z</dcterms:created>
  <dcterms:modified xsi:type="dcterms:W3CDTF">2022-11-18T03:28:00Z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2052-11.1.0.12651</vt:lpwstr>
  </property>
  <property fmtid="{D5CDD505-2E9C-101B-9397-08002B2CF9AE}" pid="3" name="ICV">
    <vt:lpwstr>F7C332AE966E4CF9A7B5CA2B50783850</vt:lpwstr>
  </property>
  <property fmtid="{D5CDD505-2E9C-101B-9397-08002B2CF9AE}" pid="4" name="AMWinEqns">
    <vt:bool>true</vt:bool>
  </property>
</Properties>
</file>